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501E" w14:textId="7F266C52" w:rsidR="00126C15" w:rsidRPr="002B6F86" w:rsidRDefault="009C7079" w:rsidP="002B6F86">
      <w:pPr>
        <w:spacing w:line="480" w:lineRule="auto"/>
        <w:jc w:val="both"/>
        <w:outlineLvl w:val="0"/>
        <w:rPr>
          <w:b/>
          <w:sz w:val="24"/>
          <w:szCs w:val="24"/>
        </w:rPr>
      </w:pPr>
      <w:r w:rsidRPr="002B6F86">
        <w:rPr>
          <w:b/>
          <w:sz w:val="24"/>
          <w:szCs w:val="24"/>
        </w:rPr>
        <w:softHyphen/>
      </w:r>
      <w:r w:rsidRPr="002B6F86">
        <w:rPr>
          <w:b/>
          <w:sz w:val="24"/>
          <w:szCs w:val="24"/>
        </w:rPr>
        <w:softHyphen/>
      </w:r>
      <w:r w:rsidR="00126C15" w:rsidRPr="002B6F86">
        <w:rPr>
          <w:b/>
          <w:sz w:val="24"/>
          <w:szCs w:val="24"/>
        </w:rPr>
        <w:t>MANUSCRIPT TITLE</w:t>
      </w:r>
    </w:p>
    <w:p w14:paraId="085D4015" w14:textId="01C88F31" w:rsidR="00FF134D" w:rsidRPr="002B6F86" w:rsidRDefault="00FF134D">
      <w:pPr>
        <w:spacing w:line="480" w:lineRule="auto"/>
        <w:jc w:val="both"/>
        <w:outlineLvl w:val="0"/>
        <w:rPr>
          <w:b/>
          <w:sz w:val="24"/>
          <w:szCs w:val="24"/>
        </w:rPr>
      </w:pPr>
      <w:r w:rsidRPr="00B34E09">
        <w:rPr>
          <w:rFonts w:cs="Arial"/>
          <w:b/>
          <w:sz w:val="24"/>
          <w:szCs w:val="24"/>
        </w:rPr>
        <w:t>Determinants of health-related quality of life after intensive care: importance of patient demographics, previous comorbidity, and severity of illness</w:t>
      </w:r>
      <w:r w:rsidRPr="002B6F86">
        <w:rPr>
          <w:b/>
          <w:sz w:val="24"/>
          <w:szCs w:val="24"/>
        </w:rPr>
        <w:t xml:space="preserve"> </w:t>
      </w:r>
    </w:p>
    <w:p w14:paraId="14EDEEDB" w14:textId="7C700A1E" w:rsidR="00126C15" w:rsidRPr="002B6F86" w:rsidRDefault="00126C15">
      <w:pPr>
        <w:spacing w:line="480" w:lineRule="auto"/>
        <w:jc w:val="both"/>
        <w:outlineLvl w:val="0"/>
        <w:rPr>
          <w:b/>
          <w:sz w:val="24"/>
          <w:szCs w:val="24"/>
        </w:rPr>
      </w:pPr>
      <w:r w:rsidRPr="002B6F86">
        <w:rPr>
          <w:b/>
          <w:sz w:val="24"/>
          <w:szCs w:val="24"/>
        </w:rPr>
        <w:t>CORRESPONDING AUTHOR</w:t>
      </w:r>
      <w:r w:rsidR="002B2F4A" w:rsidRPr="002B6F86">
        <w:rPr>
          <w:b/>
          <w:sz w:val="24"/>
          <w:szCs w:val="24"/>
        </w:rPr>
        <w:t xml:space="preserve"> </w:t>
      </w:r>
    </w:p>
    <w:p w14:paraId="6C8DBAAA" w14:textId="1301677F" w:rsidR="00126C15" w:rsidRPr="002B6F86" w:rsidRDefault="00126C15" w:rsidP="00B34E09">
      <w:pPr>
        <w:spacing w:line="480" w:lineRule="auto"/>
        <w:ind w:firstLine="720"/>
        <w:jc w:val="both"/>
        <w:outlineLvl w:val="0"/>
        <w:rPr>
          <w:sz w:val="24"/>
          <w:szCs w:val="24"/>
        </w:rPr>
      </w:pPr>
      <w:r w:rsidRPr="002B6F86">
        <w:rPr>
          <w:sz w:val="24"/>
          <w:szCs w:val="24"/>
        </w:rPr>
        <w:t>Dr David M Griffith</w:t>
      </w:r>
      <w:r w:rsidR="003964B9">
        <w:rPr>
          <w:sz w:val="24"/>
          <w:szCs w:val="24"/>
          <w:vertAlign w:val="superscript"/>
        </w:rPr>
        <w:t>1</w:t>
      </w:r>
      <w:r w:rsidR="00BC3A49" w:rsidRPr="002B6F86">
        <w:rPr>
          <w:sz w:val="24"/>
          <w:szCs w:val="24"/>
        </w:rPr>
        <w:t xml:space="preserve"> MD</w:t>
      </w:r>
      <w:r w:rsidR="0071769B" w:rsidRPr="002B6F86">
        <w:rPr>
          <w:sz w:val="24"/>
          <w:szCs w:val="24"/>
        </w:rPr>
        <w:t xml:space="preserve">, </w:t>
      </w:r>
      <w:r w:rsidRPr="002B6F86">
        <w:rPr>
          <w:sz w:val="24"/>
          <w:szCs w:val="24"/>
        </w:rPr>
        <w:t xml:space="preserve">Senior </w:t>
      </w:r>
      <w:r w:rsidR="00867A79" w:rsidRPr="002B6F86">
        <w:rPr>
          <w:sz w:val="24"/>
          <w:szCs w:val="24"/>
        </w:rPr>
        <w:t>Lecturer</w:t>
      </w:r>
      <w:r w:rsidRPr="002B6F86">
        <w:rPr>
          <w:sz w:val="24"/>
          <w:szCs w:val="24"/>
        </w:rPr>
        <w:t>,</w:t>
      </w:r>
      <w:r w:rsidR="00BC3A49" w:rsidRPr="002B6F86">
        <w:rPr>
          <w:sz w:val="24"/>
          <w:szCs w:val="24"/>
        </w:rPr>
        <w:t xml:space="preserve"> </w:t>
      </w:r>
      <w:r w:rsidRPr="002B6F86">
        <w:rPr>
          <w:sz w:val="24"/>
          <w:szCs w:val="24"/>
        </w:rPr>
        <w:t xml:space="preserve">Anaesthesia, </w:t>
      </w:r>
      <w:r w:rsidR="00BC3A49" w:rsidRPr="002B6F86">
        <w:rPr>
          <w:sz w:val="24"/>
          <w:szCs w:val="24"/>
        </w:rPr>
        <w:t xml:space="preserve">Critical Care and Pain Medicine, </w:t>
      </w:r>
      <w:r w:rsidRPr="002B6F86">
        <w:rPr>
          <w:sz w:val="24"/>
          <w:szCs w:val="24"/>
        </w:rPr>
        <w:t>University of Edinburgh, Royal Infirmary of Edinburgh,</w:t>
      </w:r>
      <w:r w:rsidR="00BC3A49" w:rsidRPr="002B6F86">
        <w:rPr>
          <w:sz w:val="24"/>
          <w:szCs w:val="24"/>
        </w:rPr>
        <w:t xml:space="preserve"> </w:t>
      </w:r>
      <w:r w:rsidRPr="002B6F86">
        <w:rPr>
          <w:sz w:val="24"/>
          <w:szCs w:val="24"/>
        </w:rPr>
        <w:t>57 Little France Crescent,</w:t>
      </w:r>
      <w:r w:rsidR="00BC3A49" w:rsidRPr="002B6F86">
        <w:rPr>
          <w:sz w:val="24"/>
          <w:szCs w:val="24"/>
        </w:rPr>
        <w:t xml:space="preserve"> </w:t>
      </w:r>
      <w:r w:rsidRPr="002B6F86">
        <w:rPr>
          <w:sz w:val="24"/>
          <w:szCs w:val="24"/>
        </w:rPr>
        <w:t>EH16 4SA.</w:t>
      </w:r>
    </w:p>
    <w:p w14:paraId="2584B33A" w14:textId="1EB6CABE" w:rsidR="00BC3A49" w:rsidRPr="002B6F86" w:rsidRDefault="00BC3A49">
      <w:pPr>
        <w:spacing w:line="480" w:lineRule="auto"/>
        <w:jc w:val="both"/>
        <w:rPr>
          <w:sz w:val="24"/>
          <w:szCs w:val="24"/>
        </w:rPr>
      </w:pPr>
      <w:r w:rsidRPr="002B6F86">
        <w:rPr>
          <w:sz w:val="24"/>
          <w:szCs w:val="24"/>
        </w:rPr>
        <w:t>Tel: 07917785281</w:t>
      </w:r>
    </w:p>
    <w:p w14:paraId="6EDC9115" w14:textId="5D408ACA" w:rsidR="00BC3A49" w:rsidRPr="002B6F86" w:rsidRDefault="00BC3A49">
      <w:pPr>
        <w:spacing w:line="480" w:lineRule="auto"/>
        <w:jc w:val="both"/>
        <w:rPr>
          <w:sz w:val="24"/>
          <w:szCs w:val="24"/>
        </w:rPr>
      </w:pPr>
      <w:r w:rsidRPr="002B6F86">
        <w:rPr>
          <w:sz w:val="24"/>
          <w:szCs w:val="24"/>
        </w:rPr>
        <w:t>Email: david.m.griffith@ed.ac.uk</w:t>
      </w:r>
    </w:p>
    <w:p w14:paraId="5F691068" w14:textId="077DEED0" w:rsidR="009C7AF6" w:rsidRPr="002B6F86" w:rsidRDefault="00126C15">
      <w:pPr>
        <w:spacing w:line="480" w:lineRule="auto"/>
        <w:jc w:val="both"/>
        <w:outlineLvl w:val="0"/>
        <w:rPr>
          <w:b/>
          <w:sz w:val="24"/>
          <w:szCs w:val="24"/>
        </w:rPr>
      </w:pPr>
      <w:r w:rsidRPr="002B6F86">
        <w:rPr>
          <w:b/>
          <w:sz w:val="24"/>
          <w:szCs w:val="24"/>
        </w:rPr>
        <w:t>CO-AUTHORS</w:t>
      </w:r>
    </w:p>
    <w:p w14:paraId="0969C69C" w14:textId="6EE26799" w:rsidR="00BC3A49" w:rsidRPr="002B6F86" w:rsidRDefault="00CD2F73" w:rsidP="00B34E09">
      <w:pPr>
        <w:spacing w:line="480" w:lineRule="auto"/>
        <w:ind w:firstLine="720"/>
        <w:jc w:val="both"/>
        <w:outlineLvl w:val="0"/>
        <w:rPr>
          <w:sz w:val="24"/>
          <w:szCs w:val="24"/>
          <w:vertAlign w:val="superscript"/>
        </w:rPr>
      </w:pPr>
      <w:r w:rsidRPr="002B6F86">
        <w:rPr>
          <w:sz w:val="24"/>
          <w:szCs w:val="24"/>
        </w:rPr>
        <w:t xml:space="preserve">Dr Lisa </w:t>
      </w:r>
      <w:r w:rsidR="00C81A35">
        <w:rPr>
          <w:sz w:val="24"/>
          <w:szCs w:val="24"/>
        </w:rPr>
        <w:t xml:space="preserve">G </w:t>
      </w:r>
      <w:r w:rsidRPr="002B6F86">
        <w:rPr>
          <w:sz w:val="24"/>
          <w:szCs w:val="24"/>
        </w:rPr>
        <w:t>Salisbury</w:t>
      </w:r>
      <w:r w:rsidR="00BC3A49" w:rsidRPr="002B6F86">
        <w:rPr>
          <w:sz w:val="24"/>
          <w:szCs w:val="24"/>
        </w:rPr>
        <w:t xml:space="preserve"> PhD</w:t>
      </w:r>
      <w:r w:rsidR="00972D3A" w:rsidRPr="002B6F86">
        <w:rPr>
          <w:sz w:val="24"/>
          <w:szCs w:val="24"/>
          <w:vertAlign w:val="superscript"/>
        </w:rPr>
        <w:t>2</w:t>
      </w:r>
      <w:r w:rsidR="002A2881" w:rsidRPr="002B6F86">
        <w:rPr>
          <w:sz w:val="24"/>
          <w:szCs w:val="24"/>
        </w:rPr>
        <w:t xml:space="preserve">, </w:t>
      </w:r>
      <w:r w:rsidR="00BC6E07" w:rsidRPr="002B6F86">
        <w:rPr>
          <w:sz w:val="24"/>
          <w:szCs w:val="24"/>
        </w:rPr>
        <w:t>Mr</w:t>
      </w:r>
      <w:r w:rsidRPr="002B6F86">
        <w:rPr>
          <w:sz w:val="24"/>
          <w:szCs w:val="24"/>
        </w:rPr>
        <w:t xml:space="preserve"> Robert</w:t>
      </w:r>
      <w:r w:rsidR="00BC6E07" w:rsidRPr="002B6F86">
        <w:rPr>
          <w:sz w:val="24"/>
          <w:szCs w:val="24"/>
        </w:rPr>
        <w:t xml:space="preserve"> J</w:t>
      </w:r>
      <w:r w:rsidRPr="002B6F86">
        <w:rPr>
          <w:sz w:val="24"/>
          <w:szCs w:val="24"/>
        </w:rPr>
        <w:t xml:space="preserve"> Lee</w:t>
      </w:r>
      <w:r w:rsidR="00BC3A49" w:rsidRPr="002B6F86">
        <w:rPr>
          <w:sz w:val="24"/>
          <w:szCs w:val="24"/>
        </w:rPr>
        <w:t xml:space="preserve"> </w:t>
      </w:r>
      <w:r w:rsidR="00BC6E07" w:rsidRPr="002B6F86">
        <w:rPr>
          <w:sz w:val="24"/>
          <w:szCs w:val="24"/>
        </w:rPr>
        <w:t>MSc</w:t>
      </w:r>
      <w:r w:rsidR="00972D3A" w:rsidRPr="002B6F86">
        <w:rPr>
          <w:sz w:val="24"/>
          <w:szCs w:val="24"/>
          <w:vertAlign w:val="superscript"/>
        </w:rPr>
        <w:t>3</w:t>
      </w:r>
      <w:r w:rsidR="002A2881" w:rsidRPr="002B6F86">
        <w:rPr>
          <w:sz w:val="24"/>
          <w:szCs w:val="24"/>
          <w:vertAlign w:val="superscript"/>
        </w:rPr>
        <w:t xml:space="preserve">, </w:t>
      </w:r>
      <w:r w:rsidRPr="002B6F86">
        <w:rPr>
          <w:sz w:val="24"/>
          <w:szCs w:val="24"/>
        </w:rPr>
        <w:t xml:space="preserve">Dr </w:t>
      </w:r>
      <w:proofErr w:type="spellStart"/>
      <w:r w:rsidRPr="002B6F86">
        <w:rPr>
          <w:sz w:val="24"/>
          <w:szCs w:val="24"/>
        </w:rPr>
        <w:t>Nazir</w:t>
      </w:r>
      <w:proofErr w:type="spellEnd"/>
      <w:r w:rsidRPr="002B6F86">
        <w:rPr>
          <w:sz w:val="24"/>
          <w:szCs w:val="24"/>
        </w:rPr>
        <w:t xml:space="preserve"> Lone</w:t>
      </w:r>
      <w:r w:rsidR="00BC3A49" w:rsidRPr="002B6F86">
        <w:rPr>
          <w:sz w:val="24"/>
          <w:szCs w:val="24"/>
        </w:rPr>
        <w:t xml:space="preserve"> PhD</w:t>
      </w:r>
      <w:r w:rsidR="00BC3A49" w:rsidRPr="002B6F86">
        <w:rPr>
          <w:sz w:val="24"/>
          <w:szCs w:val="24"/>
          <w:vertAlign w:val="superscript"/>
        </w:rPr>
        <w:t>1</w:t>
      </w:r>
      <w:r w:rsidR="002A2881" w:rsidRPr="002B6F86">
        <w:rPr>
          <w:sz w:val="24"/>
          <w:szCs w:val="24"/>
          <w:vertAlign w:val="subscript"/>
        </w:rPr>
        <w:t>,</w:t>
      </w:r>
      <w:r w:rsidR="002A2881" w:rsidRPr="002B6F86">
        <w:rPr>
          <w:sz w:val="24"/>
          <w:szCs w:val="24"/>
          <w:vertAlign w:val="superscript"/>
        </w:rPr>
        <w:t xml:space="preserve"> </w:t>
      </w:r>
      <w:r w:rsidRPr="002B6F86">
        <w:rPr>
          <w:sz w:val="24"/>
          <w:szCs w:val="24"/>
        </w:rPr>
        <w:t xml:space="preserve">Dr Judith </w:t>
      </w:r>
      <w:r w:rsidR="00972D3A" w:rsidRPr="002B6F86">
        <w:rPr>
          <w:sz w:val="24"/>
          <w:szCs w:val="24"/>
        </w:rPr>
        <w:t xml:space="preserve">L </w:t>
      </w:r>
      <w:r w:rsidRPr="002B6F86">
        <w:rPr>
          <w:sz w:val="24"/>
          <w:szCs w:val="24"/>
        </w:rPr>
        <w:t>Merriweather</w:t>
      </w:r>
      <w:r w:rsidR="00BC3A49" w:rsidRPr="002B6F86">
        <w:rPr>
          <w:sz w:val="24"/>
          <w:szCs w:val="24"/>
        </w:rPr>
        <w:t xml:space="preserve"> PhD</w:t>
      </w:r>
      <w:r w:rsidR="00BC3A49" w:rsidRPr="002B6F86">
        <w:rPr>
          <w:sz w:val="24"/>
          <w:szCs w:val="24"/>
          <w:vertAlign w:val="superscript"/>
        </w:rPr>
        <w:t>1</w:t>
      </w:r>
      <w:r w:rsidR="002A2881" w:rsidRPr="002B6F86">
        <w:rPr>
          <w:sz w:val="24"/>
          <w:szCs w:val="24"/>
          <w:vertAlign w:val="superscript"/>
        </w:rPr>
        <w:t xml:space="preserve">, </w:t>
      </w:r>
      <w:r w:rsidR="00496D17" w:rsidRPr="002B6F86">
        <w:rPr>
          <w:sz w:val="24"/>
          <w:szCs w:val="24"/>
        </w:rPr>
        <w:t>Professor Timothy</w:t>
      </w:r>
      <w:r w:rsidR="00C81A35">
        <w:rPr>
          <w:sz w:val="24"/>
          <w:szCs w:val="24"/>
        </w:rPr>
        <w:t xml:space="preserve"> S</w:t>
      </w:r>
      <w:r w:rsidR="00496D17" w:rsidRPr="002B6F86">
        <w:rPr>
          <w:sz w:val="24"/>
          <w:szCs w:val="24"/>
        </w:rPr>
        <w:t xml:space="preserve"> Walsh</w:t>
      </w:r>
      <w:r w:rsidR="00BC3A49" w:rsidRPr="002B6F86">
        <w:rPr>
          <w:sz w:val="24"/>
          <w:szCs w:val="24"/>
        </w:rPr>
        <w:t xml:space="preserve"> MD</w:t>
      </w:r>
      <w:r w:rsidR="00BC3A49" w:rsidRPr="002B6F86">
        <w:rPr>
          <w:sz w:val="24"/>
          <w:szCs w:val="24"/>
          <w:vertAlign w:val="superscript"/>
        </w:rPr>
        <w:t>1</w:t>
      </w:r>
      <w:r w:rsidR="002A2881" w:rsidRPr="002B6F86">
        <w:rPr>
          <w:sz w:val="24"/>
          <w:szCs w:val="24"/>
          <w:vertAlign w:val="subscript"/>
        </w:rPr>
        <w:t>,</w:t>
      </w:r>
      <w:r w:rsidR="002A2881" w:rsidRPr="002B6F86">
        <w:rPr>
          <w:sz w:val="24"/>
          <w:szCs w:val="24"/>
          <w:vertAlign w:val="superscript"/>
        </w:rPr>
        <w:t xml:space="preserve"> </w:t>
      </w:r>
      <w:r w:rsidRPr="002B6F86">
        <w:rPr>
          <w:sz w:val="24"/>
          <w:szCs w:val="24"/>
        </w:rPr>
        <w:t>On behalf of the RECOVER Investigators</w:t>
      </w:r>
      <w:r w:rsidR="00BC3A49" w:rsidRPr="002B6F86">
        <w:rPr>
          <w:sz w:val="24"/>
          <w:szCs w:val="24"/>
          <w:vertAlign w:val="superscript"/>
        </w:rPr>
        <w:t>1</w:t>
      </w:r>
    </w:p>
    <w:p w14:paraId="6346C61B" w14:textId="365E6683" w:rsidR="00BC3A49" w:rsidRPr="002B6F86" w:rsidRDefault="00BC3A49" w:rsidP="00B34E09">
      <w:pPr>
        <w:spacing w:line="480" w:lineRule="auto"/>
        <w:ind w:firstLine="720"/>
        <w:jc w:val="both"/>
        <w:rPr>
          <w:sz w:val="24"/>
          <w:szCs w:val="24"/>
        </w:rPr>
      </w:pPr>
      <w:r w:rsidRPr="002B6F86">
        <w:rPr>
          <w:sz w:val="24"/>
          <w:szCs w:val="24"/>
          <w:vertAlign w:val="superscript"/>
        </w:rPr>
        <w:t>1</w:t>
      </w:r>
      <w:r w:rsidRPr="002B6F86">
        <w:rPr>
          <w:sz w:val="24"/>
          <w:szCs w:val="24"/>
        </w:rPr>
        <w:t xml:space="preserve">Anaesthesia, </w:t>
      </w:r>
      <w:r w:rsidR="002A48CC" w:rsidRPr="002B6F86">
        <w:rPr>
          <w:sz w:val="24"/>
          <w:szCs w:val="24"/>
        </w:rPr>
        <w:t>Critical Care and Pain Medicine</w:t>
      </w:r>
      <w:r w:rsidRPr="002B6F86">
        <w:rPr>
          <w:sz w:val="24"/>
          <w:szCs w:val="24"/>
        </w:rPr>
        <w:t xml:space="preserve">, University of Edinburgh, Royal Infirmary of Edinburgh, 57 Little France </w:t>
      </w:r>
      <w:r w:rsidR="00BC6E07" w:rsidRPr="002B6F86">
        <w:rPr>
          <w:sz w:val="24"/>
          <w:szCs w:val="24"/>
        </w:rPr>
        <w:t xml:space="preserve">Crescent, </w:t>
      </w:r>
      <w:r w:rsidR="00972D3A" w:rsidRPr="002B6F86">
        <w:rPr>
          <w:sz w:val="24"/>
          <w:szCs w:val="24"/>
        </w:rPr>
        <w:t xml:space="preserve">Edinburgh, </w:t>
      </w:r>
      <w:r w:rsidR="00BC6E07" w:rsidRPr="002B6F86">
        <w:rPr>
          <w:sz w:val="24"/>
          <w:szCs w:val="24"/>
        </w:rPr>
        <w:t>EH16 4SA, UK.</w:t>
      </w:r>
    </w:p>
    <w:p w14:paraId="0E16AD29" w14:textId="6A85C590" w:rsidR="00972D3A" w:rsidRPr="002B6F86" w:rsidRDefault="00EE4DEE" w:rsidP="00B34E09">
      <w:pPr>
        <w:spacing w:line="480" w:lineRule="auto"/>
        <w:ind w:firstLine="720"/>
        <w:jc w:val="both"/>
        <w:rPr>
          <w:sz w:val="24"/>
          <w:szCs w:val="24"/>
        </w:rPr>
      </w:pPr>
      <w:r w:rsidRPr="002B6F86">
        <w:rPr>
          <w:sz w:val="24"/>
          <w:szCs w:val="24"/>
          <w:vertAlign w:val="superscript"/>
        </w:rPr>
        <w:t>2</w:t>
      </w:r>
      <w:r w:rsidRPr="002B6F86">
        <w:rPr>
          <w:sz w:val="24"/>
          <w:szCs w:val="24"/>
        </w:rPr>
        <w:t xml:space="preserve">Division of Dietetics, Nutrition and Biological Sciences, Physiotherapy, Podiatry and Radiography, </w:t>
      </w:r>
      <w:r w:rsidR="00972D3A" w:rsidRPr="002B6F86">
        <w:rPr>
          <w:sz w:val="24"/>
          <w:szCs w:val="24"/>
        </w:rPr>
        <w:t xml:space="preserve">Queen Margaret University, </w:t>
      </w:r>
      <w:r w:rsidR="00972D3A" w:rsidRPr="002B6F86">
        <w:rPr>
          <w:sz w:val="24"/>
          <w:szCs w:val="24"/>
          <w:lang w:val="en-US"/>
        </w:rPr>
        <w:t>Edinburgh, EH21 6UU, UK.</w:t>
      </w:r>
    </w:p>
    <w:p w14:paraId="27A1A8AD" w14:textId="71D4DC5C" w:rsidR="00BC6E07" w:rsidRPr="002B6F86" w:rsidRDefault="00972D3A" w:rsidP="00B34E09">
      <w:pPr>
        <w:spacing w:line="480" w:lineRule="auto"/>
        <w:ind w:firstLine="720"/>
        <w:jc w:val="both"/>
        <w:rPr>
          <w:sz w:val="24"/>
          <w:szCs w:val="24"/>
        </w:rPr>
      </w:pPr>
      <w:r w:rsidRPr="002B6F86">
        <w:rPr>
          <w:sz w:val="24"/>
          <w:szCs w:val="24"/>
          <w:vertAlign w:val="superscript"/>
        </w:rPr>
        <w:t>3</w:t>
      </w:r>
      <w:r w:rsidR="00BC6E07" w:rsidRPr="002B6F86">
        <w:rPr>
          <w:sz w:val="24"/>
          <w:szCs w:val="24"/>
        </w:rPr>
        <w:t>Usher Institute for Population Health Sciences and Informatics, University of Edinburgh, Teviot Place, Edinburgh, EH8 9AG, UK.</w:t>
      </w:r>
    </w:p>
    <w:p w14:paraId="05E7C7DE" w14:textId="7F818559" w:rsidR="003C4F25" w:rsidRPr="002B6F86" w:rsidRDefault="00226480">
      <w:pPr>
        <w:spacing w:line="480" w:lineRule="auto"/>
        <w:jc w:val="both"/>
        <w:rPr>
          <w:b/>
          <w:sz w:val="24"/>
          <w:szCs w:val="24"/>
        </w:rPr>
      </w:pPr>
      <w:r w:rsidRPr="002B6F86">
        <w:rPr>
          <w:b/>
          <w:sz w:val="24"/>
          <w:szCs w:val="24"/>
        </w:rPr>
        <w:t>NAME OF THE INSTITUTION WHERE THE WORK WAS PERFORMED</w:t>
      </w:r>
    </w:p>
    <w:p w14:paraId="36019E97" w14:textId="28F913D5" w:rsidR="005C6AD0" w:rsidRPr="002B6F86" w:rsidRDefault="00867A79" w:rsidP="00B34E09">
      <w:pPr>
        <w:spacing w:line="480" w:lineRule="auto"/>
        <w:ind w:firstLine="720"/>
        <w:jc w:val="both"/>
        <w:rPr>
          <w:sz w:val="24"/>
          <w:szCs w:val="24"/>
        </w:rPr>
      </w:pPr>
      <w:r w:rsidRPr="002B6F86">
        <w:rPr>
          <w:sz w:val="24"/>
          <w:szCs w:val="24"/>
        </w:rPr>
        <w:t xml:space="preserve">The </w:t>
      </w:r>
      <w:r w:rsidR="00226480" w:rsidRPr="002B6F86">
        <w:rPr>
          <w:sz w:val="24"/>
          <w:szCs w:val="24"/>
        </w:rPr>
        <w:t>University of Edinburgh</w:t>
      </w:r>
      <w:r w:rsidRPr="002B6F86">
        <w:rPr>
          <w:sz w:val="24"/>
          <w:szCs w:val="24"/>
        </w:rPr>
        <w:t>, Edinburgh, United Kingdom</w:t>
      </w:r>
    </w:p>
    <w:p w14:paraId="05E14A19" w14:textId="680A20EC" w:rsidR="005C6AD0" w:rsidRPr="00B34E09" w:rsidRDefault="009F312C">
      <w:pPr>
        <w:spacing w:line="480" w:lineRule="auto"/>
        <w:jc w:val="both"/>
        <w:rPr>
          <w:b/>
          <w:sz w:val="24"/>
          <w:szCs w:val="24"/>
        </w:rPr>
      </w:pPr>
      <w:r w:rsidRPr="002B6F86">
        <w:rPr>
          <w:b/>
          <w:sz w:val="24"/>
          <w:szCs w:val="24"/>
        </w:rPr>
        <w:lastRenderedPageBreak/>
        <w:t>CONFLICTS OF INTEREST AND SOURCE OF FUNDING</w:t>
      </w:r>
    </w:p>
    <w:p w14:paraId="772DD394" w14:textId="767AA925" w:rsidR="005C6AD0" w:rsidRPr="00B34E09" w:rsidRDefault="009F312C" w:rsidP="00B34E09">
      <w:pPr>
        <w:spacing w:line="480" w:lineRule="auto"/>
        <w:ind w:firstLine="720"/>
        <w:jc w:val="both"/>
        <w:rPr>
          <w:sz w:val="24"/>
          <w:szCs w:val="24"/>
        </w:rPr>
      </w:pPr>
      <w:r w:rsidRPr="002B6F86">
        <w:rPr>
          <w:sz w:val="24"/>
          <w:szCs w:val="24"/>
        </w:rPr>
        <w:t xml:space="preserve">The authors declare they have no conflicts of interest.  The work was supported with a grant from the Chief Scientists Office, Scotland (CZH/4/531). </w:t>
      </w:r>
    </w:p>
    <w:p w14:paraId="274A451A" w14:textId="0137C4FB" w:rsidR="00226480" w:rsidRPr="002B6F86" w:rsidRDefault="00226480">
      <w:pPr>
        <w:spacing w:line="480" w:lineRule="auto"/>
        <w:jc w:val="both"/>
        <w:rPr>
          <w:b/>
          <w:sz w:val="24"/>
          <w:szCs w:val="24"/>
        </w:rPr>
      </w:pPr>
      <w:r w:rsidRPr="002B6F86">
        <w:rPr>
          <w:b/>
          <w:sz w:val="24"/>
          <w:szCs w:val="24"/>
        </w:rPr>
        <w:t>REPRINTS</w:t>
      </w:r>
    </w:p>
    <w:p w14:paraId="42D85B6A" w14:textId="38B4C724" w:rsidR="00226480" w:rsidRPr="002B6F86" w:rsidRDefault="00226480" w:rsidP="00B34E09">
      <w:pPr>
        <w:spacing w:line="480" w:lineRule="auto"/>
        <w:ind w:firstLine="720"/>
        <w:jc w:val="both"/>
        <w:rPr>
          <w:sz w:val="24"/>
          <w:szCs w:val="24"/>
        </w:rPr>
      </w:pPr>
      <w:r w:rsidRPr="002B6F86">
        <w:rPr>
          <w:sz w:val="24"/>
          <w:szCs w:val="24"/>
        </w:rPr>
        <w:t>No reprints will be ordered.</w:t>
      </w:r>
    </w:p>
    <w:p w14:paraId="3EA7DBCE" w14:textId="77777777" w:rsidR="00FF134D" w:rsidRPr="002B6F86" w:rsidRDefault="00FF134D">
      <w:pPr>
        <w:spacing w:line="480" w:lineRule="auto"/>
        <w:jc w:val="both"/>
        <w:rPr>
          <w:b/>
          <w:sz w:val="24"/>
          <w:szCs w:val="24"/>
        </w:rPr>
      </w:pPr>
      <w:proofErr w:type="spellStart"/>
      <w:r w:rsidRPr="002B6F86">
        <w:rPr>
          <w:b/>
          <w:sz w:val="24"/>
          <w:szCs w:val="24"/>
        </w:rPr>
        <w:t>MeSH</w:t>
      </w:r>
      <w:proofErr w:type="spellEnd"/>
      <w:r w:rsidRPr="002B6F86">
        <w:rPr>
          <w:b/>
          <w:sz w:val="24"/>
          <w:szCs w:val="24"/>
        </w:rPr>
        <w:t xml:space="preserve"> TERMS:   </w:t>
      </w:r>
    </w:p>
    <w:p w14:paraId="48A83F6F" w14:textId="4616E807" w:rsidR="00FF134D" w:rsidRPr="002B6F86" w:rsidRDefault="00FF134D" w:rsidP="00B34E09">
      <w:pPr>
        <w:spacing w:line="480" w:lineRule="auto"/>
        <w:ind w:firstLine="720"/>
        <w:jc w:val="both"/>
        <w:rPr>
          <w:sz w:val="24"/>
          <w:szCs w:val="24"/>
        </w:rPr>
      </w:pPr>
      <w:r w:rsidRPr="002B6F86">
        <w:rPr>
          <w:sz w:val="24"/>
          <w:szCs w:val="24"/>
        </w:rPr>
        <w:t>Critical Care; Patient Reported Outcome Measures; Quality of Life; Respirato</w:t>
      </w:r>
      <w:r w:rsidR="00E05F54" w:rsidRPr="002B6F86">
        <w:rPr>
          <w:sz w:val="24"/>
          <w:szCs w:val="24"/>
        </w:rPr>
        <w:t>r</w:t>
      </w:r>
      <w:r w:rsidRPr="002B6F86">
        <w:rPr>
          <w:sz w:val="24"/>
          <w:szCs w:val="24"/>
        </w:rPr>
        <w:t>y, Artificial</w:t>
      </w:r>
    </w:p>
    <w:p w14:paraId="55049C19" w14:textId="2CE55F4C" w:rsidR="002A2881" w:rsidRPr="00B34E09" w:rsidRDefault="002A2881">
      <w:pPr>
        <w:spacing w:line="480" w:lineRule="auto"/>
        <w:jc w:val="both"/>
        <w:rPr>
          <w:rFonts w:cs="OpenSans"/>
          <w:b/>
          <w:color w:val="535353"/>
          <w:sz w:val="24"/>
          <w:szCs w:val="24"/>
          <w:lang w:val="en-US" w:eastAsia="en-GB"/>
        </w:rPr>
      </w:pPr>
      <w:r w:rsidRPr="00B34E09">
        <w:rPr>
          <w:rFonts w:cs="OpenSans"/>
          <w:b/>
          <w:color w:val="535353"/>
          <w:sz w:val="24"/>
          <w:szCs w:val="24"/>
          <w:lang w:val="en-US" w:eastAsia="en-GB"/>
        </w:rPr>
        <w:t xml:space="preserve">DATA </w:t>
      </w:r>
      <w:r w:rsidRPr="00B34E09">
        <w:rPr>
          <w:rFonts w:cs="OpenSans"/>
          <w:b/>
          <w:color w:val="000000" w:themeColor="text1"/>
          <w:sz w:val="24"/>
          <w:szCs w:val="24"/>
          <w:lang w:val="en-US" w:eastAsia="en-GB"/>
        </w:rPr>
        <w:t>SUPPLEMENT</w:t>
      </w:r>
    </w:p>
    <w:p w14:paraId="4D68E062" w14:textId="53216AE6" w:rsidR="00D71AB1" w:rsidRPr="002B6F86" w:rsidRDefault="002A2881" w:rsidP="00B34E09">
      <w:pPr>
        <w:spacing w:line="480" w:lineRule="auto"/>
        <w:ind w:firstLine="720"/>
        <w:jc w:val="both"/>
        <w:rPr>
          <w:rFonts w:cs="OpenSans"/>
          <w:color w:val="535353"/>
          <w:sz w:val="24"/>
          <w:szCs w:val="24"/>
          <w:lang w:val="en-US" w:eastAsia="en-GB"/>
        </w:rPr>
      </w:pPr>
      <w:r w:rsidRPr="002B6F86">
        <w:rPr>
          <w:rFonts w:cs="OpenSans"/>
          <w:color w:val="535353"/>
          <w:sz w:val="24"/>
          <w:szCs w:val="24"/>
          <w:lang w:val="en-US" w:eastAsia="en-GB"/>
        </w:rPr>
        <w:t xml:space="preserve">This article has </w:t>
      </w:r>
      <w:r w:rsidR="00684D3B">
        <w:rPr>
          <w:rFonts w:cs="OpenSans"/>
          <w:color w:val="535353"/>
          <w:sz w:val="24"/>
          <w:szCs w:val="24"/>
          <w:lang w:val="en-US" w:eastAsia="en-GB"/>
        </w:rPr>
        <w:t>supplemental digital content</w:t>
      </w:r>
      <w:r w:rsidR="007F07DD" w:rsidRPr="002B6F86">
        <w:rPr>
          <w:rFonts w:cs="OpenSans"/>
          <w:color w:val="535353"/>
          <w:sz w:val="24"/>
          <w:szCs w:val="24"/>
          <w:lang w:val="en-US" w:eastAsia="en-GB"/>
        </w:rPr>
        <w:t>.</w:t>
      </w:r>
    </w:p>
    <w:p w14:paraId="1AD7827E" w14:textId="77777777" w:rsidR="006F1F44" w:rsidRPr="00620DED" w:rsidRDefault="006F1F44" w:rsidP="006F1F44">
      <w:pPr>
        <w:spacing w:line="480" w:lineRule="auto"/>
        <w:jc w:val="both"/>
        <w:rPr>
          <w:b/>
          <w:sz w:val="24"/>
          <w:szCs w:val="24"/>
          <w:lang w:val="en-US"/>
        </w:rPr>
      </w:pPr>
      <w:r w:rsidRPr="00620DED">
        <w:rPr>
          <w:b/>
          <w:sz w:val="24"/>
          <w:szCs w:val="24"/>
          <w:lang w:val="en-US"/>
        </w:rPr>
        <w:t>Author’s Contributions</w:t>
      </w:r>
    </w:p>
    <w:p w14:paraId="58B5D551" w14:textId="77777777" w:rsidR="006F1F44" w:rsidRPr="00620DED" w:rsidRDefault="006F1F44" w:rsidP="006F1F44">
      <w:pPr>
        <w:spacing w:line="480" w:lineRule="auto"/>
        <w:ind w:firstLine="720"/>
        <w:jc w:val="both"/>
        <w:rPr>
          <w:color w:val="000000" w:themeColor="text1"/>
          <w:sz w:val="24"/>
          <w:szCs w:val="24"/>
        </w:rPr>
      </w:pPr>
      <w:r w:rsidRPr="00620DED">
        <w:rPr>
          <w:color w:val="000000" w:themeColor="text1"/>
          <w:sz w:val="24"/>
          <w:szCs w:val="24"/>
        </w:rPr>
        <w:t>JM, LS, and TSW obtained funding.  DG, LS, and TSW conceived the study.  NL, RL, DG, LS, and TSW designed the analysis.  DG and RL conducted the analysis.  DG, LS, and TSW wrote the manuscript.  All authors reviewed manuscript drafts and approved the final version of the manuscript.</w:t>
      </w:r>
    </w:p>
    <w:p w14:paraId="373DC3EE" w14:textId="77777777" w:rsidR="00C2421E" w:rsidRPr="00B34E09" w:rsidRDefault="00C2421E">
      <w:pPr>
        <w:spacing w:after="0" w:line="480" w:lineRule="auto"/>
        <w:rPr>
          <w:sz w:val="24"/>
          <w:szCs w:val="24"/>
        </w:rPr>
      </w:pPr>
      <w:r w:rsidRPr="00B34E09">
        <w:rPr>
          <w:sz w:val="24"/>
          <w:szCs w:val="24"/>
        </w:rPr>
        <w:br w:type="page"/>
      </w:r>
    </w:p>
    <w:p w14:paraId="0DFBBE70" w14:textId="77777777" w:rsidR="00AD6AA3" w:rsidRDefault="00AD6AA3">
      <w:pPr>
        <w:spacing w:line="480" w:lineRule="auto"/>
        <w:jc w:val="both"/>
        <w:rPr>
          <w:sz w:val="24"/>
          <w:szCs w:val="24"/>
        </w:rPr>
        <w:sectPr w:rsidR="00AD6AA3" w:rsidSect="00E160F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docGrid w:linePitch="360"/>
        </w:sectPr>
      </w:pPr>
    </w:p>
    <w:p w14:paraId="2A0CBD9E" w14:textId="168A3AA1" w:rsidR="0031215B" w:rsidRPr="002B6F86" w:rsidRDefault="0031215B">
      <w:pPr>
        <w:spacing w:line="480" w:lineRule="auto"/>
        <w:jc w:val="both"/>
        <w:rPr>
          <w:b/>
          <w:sz w:val="24"/>
          <w:szCs w:val="24"/>
        </w:rPr>
      </w:pPr>
      <w:r w:rsidRPr="002B6F86">
        <w:rPr>
          <w:b/>
          <w:sz w:val="24"/>
          <w:szCs w:val="24"/>
        </w:rPr>
        <w:lastRenderedPageBreak/>
        <w:t>ABSTRACT</w:t>
      </w:r>
    </w:p>
    <w:p w14:paraId="0514D6E8" w14:textId="52B5B53D" w:rsidR="00BC3A49" w:rsidRPr="002B6F86" w:rsidRDefault="00226480">
      <w:pPr>
        <w:spacing w:line="480" w:lineRule="auto"/>
        <w:jc w:val="both"/>
        <w:rPr>
          <w:i/>
          <w:sz w:val="24"/>
          <w:szCs w:val="24"/>
        </w:rPr>
      </w:pPr>
      <w:r w:rsidRPr="002B6F86">
        <w:rPr>
          <w:i/>
          <w:sz w:val="24"/>
          <w:szCs w:val="24"/>
        </w:rPr>
        <w:t>Objective</w:t>
      </w:r>
    </w:p>
    <w:p w14:paraId="75F1B48F" w14:textId="0A8018A3" w:rsidR="007C6B15" w:rsidRPr="002B6F86" w:rsidRDefault="00AB523B" w:rsidP="00B34E09">
      <w:pPr>
        <w:spacing w:line="480" w:lineRule="auto"/>
        <w:ind w:firstLine="720"/>
        <w:jc w:val="both"/>
        <w:rPr>
          <w:sz w:val="24"/>
          <w:szCs w:val="24"/>
        </w:rPr>
      </w:pPr>
      <w:r w:rsidRPr="002B6F86">
        <w:rPr>
          <w:sz w:val="24"/>
          <w:szCs w:val="24"/>
        </w:rPr>
        <w:t>I</w:t>
      </w:r>
      <w:r w:rsidR="000E3549" w:rsidRPr="002B6F86">
        <w:rPr>
          <w:sz w:val="24"/>
          <w:szCs w:val="24"/>
        </w:rPr>
        <w:t>n</w:t>
      </w:r>
      <w:r w:rsidR="00614B5E" w:rsidRPr="002B6F86">
        <w:rPr>
          <w:sz w:val="24"/>
          <w:szCs w:val="24"/>
        </w:rPr>
        <w:t xml:space="preserve">tensive care </w:t>
      </w:r>
      <w:r w:rsidR="0008395B" w:rsidRPr="002B6F86">
        <w:rPr>
          <w:sz w:val="24"/>
          <w:szCs w:val="24"/>
        </w:rPr>
        <w:t xml:space="preserve">(ICU) </w:t>
      </w:r>
      <w:r w:rsidR="00614B5E" w:rsidRPr="002B6F86">
        <w:rPr>
          <w:sz w:val="24"/>
          <w:szCs w:val="24"/>
        </w:rPr>
        <w:t>s</w:t>
      </w:r>
      <w:r w:rsidR="00F658F3" w:rsidRPr="002B6F86">
        <w:rPr>
          <w:sz w:val="24"/>
          <w:szCs w:val="24"/>
        </w:rPr>
        <w:t xml:space="preserve">urvivors </w:t>
      </w:r>
      <w:r w:rsidR="00A62686" w:rsidRPr="002B6F86">
        <w:rPr>
          <w:sz w:val="24"/>
          <w:szCs w:val="24"/>
        </w:rPr>
        <w:t xml:space="preserve">frequently </w:t>
      </w:r>
      <w:r w:rsidR="00614B5E" w:rsidRPr="002B6F86">
        <w:rPr>
          <w:sz w:val="24"/>
          <w:szCs w:val="24"/>
        </w:rPr>
        <w:t>report</w:t>
      </w:r>
      <w:r w:rsidR="00F658F3" w:rsidRPr="002B6F86">
        <w:rPr>
          <w:sz w:val="24"/>
          <w:szCs w:val="24"/>
        </w:rPr>
        <w:t xml:space="preserve"> reduced health-related quality of life </w:t>
      </w:r>
      <w:r w:rsidR="00D22F0F" w:rsidRPr="002B6F86">
        <w:rPr>
          <w:sz w:val="24"/>
          <w:szCs w:val="24"/>
        </w:rPr>
        <w:t>(</w:t>
      </w:r>
      <w:proofErr w:type="spellStart"/>
      <w:r w:rsidR="00D22F0F" w:rsidRPr="002B6F86">
        <w:rPr>
          <w:sz w:val="24"/>
          <w:szCs w:val="24"/>
        </w:rPr>
        <w:t>HRQoL</w:t>
      </w:r>
      <w:proofErr w:type="spellEnd"/>
      <w:r w:rsidR="00D22F0F" w:rsidRPr="002B6F86">
        <w:rPr>
          <w:sz w:val="24"/>
          <w:szCs w:val="24"/>
        </w:rPr>
        <w:t>)</w:t>
      </w:r>
      <w:r w:rsidR="00A62686" w:rsidRPr="002B6F86">
        <w:rPr>
          <w:sz w:val="24"/>
          <w:szCs w:val="24"/>
        </w:rPr>
        <w:t>,</w:t>
      </w:r>
      <w:r w:rsidR="00E95381" w:rsidRPr="002B6F86">
        <w:rPr>
          <w:sz w:val="24"/>
          <w:szCs w:val="24"/>
        </w:rPr>
        <w:t xml:space="preserve"> but the relative importance of pre-illness versus acute illness factors </w:t>
      </w:r>
      <w:r w:rsidR="00CC269A" w:rsidRPr="002B6F86">
        <w:rPr>
          <w:sz w:val="24"/>
          <w:szCs w:val="24"/>
        </w:rPr>
        <w:t xml:space="preserve">in survivor populations </w:t>
      </w:r>
      <w:r w:rsidR="00A62686" w:rsidRPr="002B6F86">
        <w:rPr>
          <w:sz w:val="24"/>
          <w:szCs w:val="24"/>
        </w:rPr>
        <w:t>is</w:t>
      </w:r>
      <w:r w:rsidR="00E95381" w:rsidRPr="002B6F86">
        <w:rPr>
          <w:sz w:val="24"/>
          <w:szCs w:val="24"/>
        </w:rPr>
        <w:t xml:space="preserve"> not </w:t>
      </w:r>
      <w:r w:rsidR="00A62686" w:rsidRPr="002B6F86">
        <w:rPr>
          <w:sz w:val="24"/>
          <w:szCs w:val="24"/>
        </w:rPr>
        <w:t xml:space="preserve">well </w:t>
      </w:r>
      <w:r w:rsidR="00C3235C" w:rsidRPr="002B6F86">
        <w:rPr>
          <w:sz w:val="24"/>
          <w:szCs w:val="24"/>
        </w:rPr>
        <w:t>understood</w:t>
      </w:r>
      <w:r w:rsidR="00E95381" w:rsidRPr="002B6F86">
        <w:rPr>
          <w:sz w:val="24"/>
          <w:szCs w:val="24"/>
        </w:rPr>
        <w:t xml:space="preserve">. </w:t>
      </w:r>
      <w:r w:rsidR="006775AA" w:rsidRPr="002B6F86">
        <w:rPr>
          <w:sz w:val="24"/>
          <w:szCs w:val="24"/>
        </w:rPr>
        <w:t>W</w:t>
      </w:r>
      <w:r w:rsidR="00974BDD" w:rsidRPr="002B6F86">
        <w:rPr>
          <w:sz w:val="24"/>
          <w:szCs w:val="24"/>
        </w:rPr>
        <w:t>e aimed t</w:t>
      </w:r>
      <w:r w:rsidR="007C6B15" w:rsidRPr="002B6F86">
        <w:rPr>
          <w:sz w:val="24"/>
          <w:szCs w:val="24"/>
        </w:rPr>
        <w:t>o</w:t>
      </w:r>
      <w:r w:rsidR="00E765C8" w:rsidRPr="002B6F86">
        <w:rPr>
          <w:sz w:val="24"/>
          <w:szCs w:val="24"/>
        </w:rPr>
        <w:t xml:space="preserve"> </w:t>
      </w:r>
      <w:r w:rsidR="00287DFB" w:rsidRPr="002B6F86">
        <w:rPr>
          <w:sz w:val="24"/>
          <w:szCs w:val="24"/>
        </w:rPr>
        <w:t>explore</w:t>
      </w:r>
      <w:r w:rsidR="00EC5734" w:rsidRPr="002B6F86">
        <w:rPr>
          <w:sz w:val="24"/>
          <w:szCs w:val="24"/>
        </w:rPr>
        <w:t xml:space="preserve"> </w:t>
      </w:r>
      <w:proofErr w:type="spellStart"/>
      <w:r w:rsidR="0099465F" w:rsidRPr="002B6F86">
        <w:rPr>
          <w:sz w:val="24"/>
          <w:szCs w:val="24"/>
        </w:rPr>
        <w:t>HRQoL</w:t>
      </w:r>
      <w:proofErr w:type="spellEnd"/>
      <w:r w:rsidR="00EC5734" w:rsidRPr="002B6F86">
        <w:rPr>
          <w:sz w:val="24"/>
          <w:szCs w:val="24"/>
        </w:rPr>
        <w:t xml:space="preserve"> trajector</w:t>
      </w:r>
      <w:r w:rsidR="00287DFB" w:rsidRPr="002B6F86">
        <w:rPr>
          <w:sz w:val="24"/>
          <w:szCs w:val="24"/>
        </w:rPr>
        <w:t>ies over</w:t>
      </w:r>
      <w:r w:rsidR="007C6B15" w:rsidRPr="002B6F86">
        <w:rPr>
          <w:sz w:val="24"/>
          <w:szCs w:val="24"/>
        </w:rPr>
        <w:t xml:space="preserve"> 12 months following ICU discharge, </w:t>
      </w:r>
      <w:r w:rsidR="00287DFB" w:rsidRPr="002B6F86">
        <w:rPr>
          <w:sz w:val="24"/>
          <w:szCs w:val="24"/>
        </w:rPr>
        <w:t>patterns of</w:t>
      </w:r>
      <w:r w:rsidR="00CF0726" w:rsidRPr="002B6F86">
        <w:rPr>
          <w:sz w:val="24"/>
          <w:szCs w:val="24"/>
        </w:rPr>
        <w:t xml:space="preserve"> improvement </w:t>
      </w:r>
      <w:r w:rsidR="00BB0E8E" w:rsidRPr="002B6F86">
        <w:rPr>
          <w:sz w:val="24"/>
          <w:szCs w:val="24"/>
        </w:rPr>
        <w:t>or deteriorat</w:t>
      </w:r>
      <w:r w:rsidR="00287DFB" w:rsidRPr="002B6F86">
        <w:rPr>
          <w:sz w:val="24"/>
          <w:szCs w:val="24"/>
        </w:rPr>
        <w:t>ion</w:t>
      </w:r>
      <w:r w:rsidR="00BB0E8E" w:rsidRPr="002B6F86">
        <w:rPr>
          <w:sz w:val="24"/>
          <w:szCs w:val="24"/>
        </w:rPr>
        <w:t xml:space="preserve"> </w:t>
      </w:r>
      <w:r w:rsidR="00A323E1" w:rsidRPr="002B6F86">
        <w:rPr>
          <w:sz w:val="24"/>
          <w:szCs w:val="24"/>
        </w:rPr>
        <w:t>over this period</w:t>
      </w:r>
      <w:r w:rsidR="00BB0E8E" w:rsidRPr="002B6F86">
        <w:rPr>
          <w:sz w:val="24"/>
          <w:szCs w:val="24"/>
        </w:rPr>
        <w:t xml:space="preserve">, </w:t>
      </w:r>
      <w:r w:rsidR="007C6B15" w:rsidRPr="002B6F86">
        <w:rPr>
          <w:sz w:val="24"/>
          <w:szCs w:val="24"/>
        </w:rPr>
        <w:t xml:space="preserve">and the relative importance of demographics (age, gender, social deprivation), pre-existing health (functional comorbidity index (FCI)), and acute illness severity (APACHE II score, ventilation days) as determinants of </w:t>
      </w:r>
      <w:proofErr w:type="spellStart"/>
      <w:r w:rsidR="007C6B15" w:rsidRPr="002B6F86">
        <w:rPr>
          <w:sz w:val="24"/>
          <w:szCs w:val="24"/>
        </w:rPr>
        <w:t>HRQoL</w:t>
      </w:r>
      <w:proofErr w:type="spellEnd"/>
      <w:r w:rsidR="005A2CF6" w:rsidRPr="002B6F86">
        <w:rPr>
          <w:sz w:val="24"/>
          <w:szCs w:val="24"/>
        </w:rPr>
        <w:t xml:space="preserve"> </w:t>
      </w:r>
      <w:r w:rsidR="00FD6FF5" w:rsidRPr="002B6F86">
        <w:rPr>
          <w:sz w:val="24"/>
          <w:szCs w:val="24"/>
        </w:rPr>
        <w:t xml:space="preserve">and </w:t>
      </w:r>
      <w:r w:rsidR="00CC269A" w:rsidRPr="002B6F86">
        <w:rPr>
          <w:sz w:val="24"/>
          <w:szCs w:val="24"/>
        </w:rPr>
        <w:t xml:space="preserve">relevant </w:t>
      </w:r>
      <w:r w:rsidR="00287DFB" w:rsidRPr="002B6F86">
        <w:rPr>
          <w:sz w:val="24"/>
          <w:szCs w:val="24"/>
        </w:rPr>
        <w:t>patient-reported</w:t>
      </w:r>
      <w:r w:rsidR="00BB0E8E" w:rsidRPr="002B6F86">
        <w:rPr>
          <w:sz w:val="24"/>
          <w:szCs w:val="24"/>
        </w:rPr>
        <w:t xml:space="preserve"> symptoms</w:t>
      </w:r>
      <w:r w:rsidR="00FD6FF5" w:rsidRPr="002B6F86">
        <w:rPr>
          <w:sz w:val="24"/>
          <w:szCs w:val="24"/>
        </w:rPr>
        <w:t xml:space="preserve"> </w:t>
      </w:r>
      <w:r w:rsidR="00A323E1" w:rsidRPr="002B6F86">
        <w:rPr>
          <w:sz w:val="24"/>
          <w:szCs w:val="24"/>
        </w:rPr>
        <w:t>during the year following</w:t>
      </w:r>
      <w:r w:rsidR="007C6B15" w:rsidRPr="002B6F86">
        <w:rPr>
          <w:sz w:val="24"/>
          <w:szCs w:val="24"/>
        </w:rPr>
        <w:t xml:space="preserve"> ICU discharge</w:t>
      </w:r>
      <w:r w:rsidR="00191E9B" w:rsidRPr="002B6F86">
        <w:rPr>
          <w:sz w:val="24"/>
          <w:szCs w:val="24"/>
        </w:rPr>
        <w:t xml:space="preserve">.  </w:t>
      </w:r>
    </w:p>
    <w:p w14:paraId="74EA5CD3" w14:textId="501109FA" w:rsidR="00BC3A49" w:rsidRPr="002B6F86" w:rsidRDefault="00226480">
      <w:pPr>
        <w:spacing w:line="480" w:lineRule="auto"/>
        <w:jc w:val="both"/>
        <w:rPr>
          <w:i/>
          <w:sz w:val="24"/>
          <w:szCs w:val="24"/>
        </w:rPr>
      </w:pPr>
      <w:r w:rsidRPr="002B6F86">
        <w:rPr>
          <w:i/>
          <w:sz w:val="24"/>
          <w:szCs w:val="24"/>
        </w:rPr>
        <w:t>Design</w:t>
      </w:r>
    </w:p>
    <w:p w14:paraId="035EFB4C" w14:textId="31E878E6" w:rsidR="00D22F0F" w:rsidRPr="002B6F86" w:rsidRDefault="00AB523B" w:rsidP="00B34E09">
      <w:pPr>
        <w:spacing w:line="480" w:lineRule="auto"/>
        <w:ind w:firstLine="720"/>
        <w:jc w:val="both"/>
        <w:rPr>
          <w:sz w:val="24"/>
          <w:szCs w:val="24"/>
        </w:rPr>
      </w:pPr>
      <w:r w:rsidRPr="002B6F86">
        <w:rPr>
          <w:sz w:val="24"/>
          <w:szCs w:val="24"/>
        </w:rPr>
        <w:t>Nested cohort study</w:t>
      </w:r>
      <w:r w:rsidR="00A40C61" w:rsidRPr="002B6F86">
        <w:rPr>
          <w:sz w:val="24"/>
          <w:szCs w:val="24"/>
        </w:rPr>
        <w:t xml:space="preserve"> within a previously published randomised controlled trial</w:t>
      </w:r>
      <w:r w:rsidRPr="002B6F86">
        <w:rPr>
          <w:sz w:val="24"/>
          <w:szCs w:val="24"/>
        </w:rPr>
        <w:t xml:space="preserve">.  </w:t>
      </w:r>
      <w:r w:rsidR="00226480" w:rsidRPr="002B6F86">
        <w:rPr>
          <w:sz w:val="24"/>
          <w:szCs w:val="24"/>
        </w:rPr>
        <w:t xml:space="preserve"> </w:t>
      </w:r>
    </w:p>
    <w:p w14:paraId="02E0DF66" w14:textId="1AED6516" w:rsidR="00226480" w:rsidRPr="002B6F86" w:rsidRDefault="00226480">
      <w:pPr>
        <w:spacing w:line="480" w:lineRule="auto"/>
        <w:jc w:val="both"/>
        <w:rPr>
          <w:i/>
          <w:sz w:val="24"/>
          <w:szCs w:val="24"/>
        </w:rPr>
      </w:pPr>
      <w:r w:rsidRPr="002B6F86">
        <w:rPr>
          <w:i/>
          <w:sz w:val="24"/>
          <w:szCs w:val="24"/>
        </w:rPr>
        <w:t>Setting</w:t>
      </w:r>
    </w:p>
    <w:p w14:paraId="204BABD3" w14:textId="3E72D277" w:rsidR="00226480" w:rsidRPr="002B6F86" w:rsidRDefault="00226480" w:rsidP="00B34E09">
      <w:pPr>
        <w:spacing w:line="480" w:lineRule="auto"/>
        <w:ind w:firstLine="720"/>
        <w:jc w:val="both"/>
        <w:rPr>
          <w:sz w:val="24"/>
          <w:szCs w:val="24"/>
        </w:rPr>
      </w:pPr>
      <w:r w:rsidRPr="002B6F86">
        <w:rPr>
          <w:sz w:val="24"/>
          <w:szCs w:val="24"/>
        </w:rPr>
        <w:t xml:space="preserve">Two </w:t>
      </w:r>
      <w:r w:rsidR="00287DFB" w:rsidRPr="002B6F86">
        <w:rPr>
          <w:sz w:val="24"/>
          <w:szCs w:val="24"/>
        </w:rPr>
        <w:t>ICU</w:t>
      </w:r>
      <w:r w:rsidRPr="002B6F86">
        <w:rPr>
          <w:sz w:val="24"/>
          <w:szCs w:val="24"/>
        </w:rPr>
        <w:t>s in Edinburgh, Scotland.</w:t>
      </w:r>
    </w:p>
    <w:p w14:paraId="6EE66785" w14:textId="2347E39B" w:rsidR="00226480" w:rsidRPr="002B6F86" w:rsidRDefault="00226480">
      <w:pPr>
        <w:spacing w:line="480" w:lineRule="auto"/>
        <w:jc w:val="both"/>
        <w:rPr>
          <w:i/>
          <w:sz w:val="24"/>
          <w:szCs w:val="24"/>
        </w:rPr>
      </w:pPr>
      <w:r w:rsidRPr="002B6F86">
        <w:rPr>
          <w:i/>
          <w:sz w:val="24"/>
          <w:szCs w:val="24"/>
        </w:rPr>
        <w:t>Patients</w:t>
      </w:r>
    </w:p>
    <w:p w14:paraId="64E75459" w14:textId="7DC9D486" w:rsidR="00226480" w:rsidRPr="002B6F86" w:rsidRDefault="006775AA" w:rsidP="00B34E09">
      <w:pPr>
        <w:spacing w:line="480" w:lineRule="auto"/>
        <w:ind w:firstLine="720"/>
        <w:jc w:val="both"/>
        <w:rPr>
          <w:sz w:val="24"/>
          <w:szCs w:val="24"/>
          <w:lang w:val="en-US"/>
        </w:rPr>
      </w:pPr>
      <w:r w:rsidRPr="002B6F86">
        <w:rPr>
          <w:sz w:val="24"/>
          <w:szCs w:val="24"/>
        </w:rPr>
        <w:t xml:space="preserve">Adult ICU </w:t>
      </w:r>
      <w:r w:rsidR="00287DFB" w:rsidRPr="002B6F86">
        <w:rPr>
          <w:sz w:val="24"/>
          <w:szCs w:val="24"/>
        </w:rPr>
        <w:t xml:space="preserve">survivors </w:t>
      </w:r>
      <w:r w:rsidR="00CC269A" w:rsidRPr="002B6F86">
        <w:rPr>
          <w:sz w:val="24"/>
          <w:szCs w:val="24"/>
        </w:rPr>
        <w:t xml:space="preserve">(N=240) </w:t>
      </w:r>
      <w:r w:rsidR="00287DFB" w:rsidRPr="002B6F86">
        <w:rPr>
          <w:sz w:val="24"/>
          <w:szCs w:val="24"/>
        </w:rPr>
        <w:t>who required</w:t>
      </w:r>
      <w:r w:rsidRPr="002B6F86">
        <w:rPr>
          <w:sz w:val="24"/>
          <w:szCs w:val="24"/>
        </w:rPr>
        <w:t xml:space="preserve"> more than 48 </w:t>
      </w:r>
      <w:proofErr w:type="gramStart"/>
      <w:r w:rsidRPr="002B6F86">
        <w:rPr>
          <w:sz w:val="24"/>
          <w:szCs w:val="24"/>
        </w:rPr>
        <w:t>hours</w:t>
      </w:r>
      <w:proofErr w:type="gramEnd"/>
      <w:r w:rsidRPr="002B6F86">
        <w:rPr>
          <w:sz w:val="24"/>
          <w:szCs w:val="24"/>
        </w:rPr>
        <w:t xml:space="preserve"> </w:t>
      </w:r>
      <w:r w:rsidR="00287DFB" w:rsidRPr="002B6F86">
        <w:rPr>
          <w:sz w:val="24"/>
          <w:szCs w:val="24"/>
        </w:rPr>
        <w:t>mechanical ventilation (MV)</w:t>
      </w:r>
      <w:r w:rsidRPr="002B6F86">
        <w:rPr>
          <w:sz w:val="24"/>
          <w:szCs w:val="24"/>
          <w:lang w:val="en-US"/>
        </w:rPr>
        <w:t>.</w:t>
      </w:r>
    </w:p>
    <w:p w14:paraId="4465641F" w14:textId="00BED07C" w:rsidR="006775AA" w:rsidRPr="002B6F86" w:rsidRDefault="006775AA">
      <w:pPr>
        <w:spacing w:line="480" w:lineRule="auto"/>
        <w:jc w:val="both"/>
        <w:rPr>
          <w:i/>
          <w:sz w:val="24"/>
          <w:szCs w:val="24"/>
          <w:lang w:val="en-US"/>
        </w:rPr>
      </w:pPr>
      <w:r w:rsidRPr="002B6F86">
        <w:rPr>
          <w:i/>
          <w:sz w:val="24"/>
          <w:szCs w:val="24"/>
          <w:lang w:val="en-US"/>
        </w:rPr>
        <w:t>Interventions</w:t>
      </w:r>
    </w:p>
    <w:p w14:paraId="3C48041E" w14:textId="3162201B" w:rsidR="006775AA" w:rsidRPr="002B6F86" w:rsidRDefault="006775AA" w:rsidP="00B34E09">
      <w:pPr>
        <w:spacing w:line="480" w:lineRule="auto"/>
        <w:ind w:firstLine="720"/>
        <w:jc w:val="both"/>
        <w:rPr>
          <w:sz w:val="24"/>
          <w:szCs w:val="24"/>
          <w:lang w:val="en-US"/>
        </w:rPr>
      </w:pPr>
      <w:r w:rsidRPr="002B6F86">
        <w:rPr>
          <w:sz w:val="24"/>
          <w:szCs w:val="24"/>
          <w:lang w:val="en-US"/>
        </w:rPr>
        <w:t>None.</w:t>
      </w:r>
    </w:p>
    <w:p w14:paraId="3D50E366" w14:textId="0CF42034" w:rsidR="00226480" w:rsidRPr="002B6F86" w:rsidRDefault="00226480">
      <w:pPr>
        <w:spacing w:line="480" w:lineRule="auto"/>
        <w:jc w:val="both"/>
        <w:rPr>
          <w:i/>
          <w:sz w:val="24"/>
          <w:szCs w:val="24"/>
        </w:rPr>
      </w:pPr>
      <w:r w:rsidRPr="002B6F86">
        <w:rPr>
          <w:i/>
          <w:sz w:val="24"/>
          <w:szCs w:val="24"/>
        </w:rPr>
        <w:t>Measurements</w:t>
      </w:r>
      <w:r w:rsidR="006775AA" w:rsidRPr="002B6F86">
        <w:rPr>
          <w:i/>
          <w:sz w:val="24"/>
          <w:szCs w:val="24"/>
        </w:rPr>
        <w:t xml:space="preserve"> and Main Results</w:t>
      </w:r>
    </w:p>
    <w:p w14:paraId="66E2145A" w14:textId="2896CBA0" w:rsidR="00191E9B" w:rsidRPr="002B6F86" w:rsidRDefault="000E3764" w:rsidP="00B34E09">
      <w:pPr>
        <w:spacing w:line="480" w:lineRule="auto"/>
        <w:ind w:firstLine="720"/>
        <w:jc w:val="both"/>
        <w:rPr>
          <w:sz w:val="24"/>
          <w:szCs w:val="24"/>
        </w:rPr>
      </w:pPr>
      <w:r w:rsidRPr="002B6F86">
        <w:rPr>
          <w:sz w:val="24"/>
          <w:szCs w:val="24"/>
        </w:rPr>
        <w:lastRenderedPageBreak/>
        <w:t xml:space="preserve">We </w:t>
      </w:r>
      <w:r w:rsidR="00CC269A" w:rsidRPr="002B6F86">
        <w:rPr>
          <w:sz w:val="24"/>
          <w:szCs w:val="24"/>
        </w:rPr>
        <w:t>prospectively collected data for</w:t>
      </w:r>
      <w:r w:rsidRPr="002B6F86">
        <w:rPr>
          <w:sz w:val="24"/>
          <w:szCs w:val="24"/>
        </w:rPr>
        <w:t xml:space="preserve"> </w:t>
      </w:r>
      <w:r w:rsidR="00A00728" w:rsidRPr="002B6F86">
        <w:rPr>
          <w:sz w:val="24"/>
          <w:szCs w:val="24"/>
        </w:rPr>
        <w:t xml:space="preserve">age, gender, social deprivation (Scottish Index of Multiple Deprivation), </w:t>
      </w:r>
      <w:r w:rsidR="00A323E1" w:rsidRPr="002B6F86">
        <w:rPr>
          <w:sz w:val="24"/>
          <w:szCs w:val="24"/>
        </w:rPr>
        <w:t xml:space="preserve">pre-existing </w:t>
      </w:r>
      <w:r w:rsidR="00A00728" w:rsidRPr="002B6F86">
        <w:rPr>
          <w:sz w:val="24"/>
          <w:szCs w:val="24"/>
        </w:rPr>
        <w:t>comorbidity (Functional Comorbidity Index)</w:t>
      </w:r>
      <w:r w:rsidR="00613EC0" w:rsidRPr="002B6F86">
        <w:rPr>
          <w:sz w:val="24"/>
          <w:szCs w:val="24"/>
        </w:rPr>
        <w:t xml:space="preserve">, APACHE II score, and days of </w:t>
      </w:r>
      <w:r w:rsidR="003964B9">
        <w:rPr>
          <w:sz w:val="24"/>
          <w:szCs w:val="24"/>
        </w:rPr>
        <w:t>mechanical ventilation (</w:t>
      </w:r>
      <w:r w:rsidR="00287DFB" w:rsidRPr="002B6F86">
        <w:rPr>
          <w:sz w:val="24"/>
          <w:szCs w:val="24"/>
        </w:rPr>
        <w:t>MV</w:t>
      </w:r>
      <w:r w:rsidR="003964B9">
        <w:rPr>
          <w:sz w:val="24"/>
          <w:szCs w:val="24"/>
        </w:rPr>
        <w:t>)</w:t>
      </w:r>
      <w:r w:rsidR="00613EC0" w:rsidRPr="002B6F86">
        <w:rPr>
          <w:sz w:val="24"/>
          <w:szCs w:val="24"/>
        </w:rPr>
        <w:t xml:space="preserve">. </w:t>
      </w:r>
      <w:proofErr w:type="spellStart"/>
      <w:r w:rsidR="00DE01B6" w:rsidRPr="002B6F86">
        <w:rPr>
          <w:sz w:val="24"/>
          <w:szCs w:val="24"/>
        </w:rPr>
        <w:t>HRQoL</w:t>
      </w:r>
      <w:proofErr w:type="spellEnd"/>
      <w:r w:rsidR="00DE01B6" w:rsidRPr="002B6F86">
        <w:rPr>
          <w:sz w:val="24"/>
          <w:szCs w:val="24"/>
        </w:rPr>
        <w:t xml:space="preserve"> (Medical Outcomes Study Short Form version 2 (SF12 v2) physical (PCS) and mental (MCS) co</w:t>
      </w:r>
      <w:r w:rsidR="000B62BB" w:rsidRPr="002B6F86">
        <w:rPr>
          <w:sz w:val="24"/>
          <w:szCs w:val="24"/>
        </w:rPr>
        <w:t>m</w:t>
      </w:r>
      <w:r w:rsidR="00DE01B6" w:rsidRPr="002B6F86">
        <w:rPr>
          <w:sz w:val="24"/>
          <w:szCs w:val="24"/>
        </w:rPr>
        <w:t>ponents scores</w:t>
      </w:r>
      <w:r w:rsidR="00287DFB" w:rsidRPr="002B6F86">
        <w:rPr>
          <w:sz w:val="24"/>
          <w:szCs w:val="24"/>
        </w:rPr>
        <w:t>)</w:t>
      </w:r>
      <w:r w:rsidR="00DE01B6" w:rsidRPr="002B6F86">
        <w:rPr>
          <w:sz w:val="24"/>
          <w:szCs w:val="24"/>
        </w:rPr>
        <w:t xml:space="preserve"> and </w:t>
      </w:r>
      <w:r w:rsidR="005C77A6" w:rsidRPr="002B6F86">
        <w:rPr>
          <w:sz w:val="24"/>
          <w:szCs w:val="24"/>
        </w:rPr>
        <w:t>p</w:t>
      </w:r>
      <w:r w:rsidR="00A40C61" w:rsidRPr="002B6F86">
        <w:rPr>
          <w:sz w:val="24"/>
          <w:szCs w:val="24"/>
        </w:rPr>
        <w:t xml:space="preserve">atient-reported </w:t>
      </w:r>
      <w:r w:rsidR="00DE01B6" w:rsidRPr="002B6F86">
        <w:rPr>
          <w:sz w:val="24"/>
          <w:szCs w:val="24"/>
        </w:rPr>
        <w:t>s</w:t>
      </w:r>
      <w:r w:rsidR="00226480" w:rsidRPr="002B6F86">
        <w:rPr>
          <w:sz w:val="24"/>
          <w:szCs w:val="24"/>
        </w:rPr>
        <w:t>ymptom</w:t>
      </w:r>
      <w:r w:rsidR="00DE01B6" w:rsidRPr="002B6F86">
        <w:rPr>
          <w:sz w:val="24"/>
          <w:szCs w:val="24"/>
        </w:rPr>
        <w:t>s</w:t>
      </w:r>
      <w:r w:rsidR="00226480" w:rsidRPr="002B6F86">
        <w:rPr>
          <w:sz w:val="24"/>
          <w:szCs w:val="24"/>
        </w:rPr>
        <w:t xml:space="preserve"> </w:t>
      </w:r>
      <w:r w:rsidR="00287DFB" w:rsidRPr="002B6F86">
        <w:rPr>
          <w:sz w:val="24"/>
          <w:szCs w:val="24"/>
        </w:rPr>
        <w:t xml:space="preserve">(appetite, fatigue, pain, joint stiffness and breathlessness) </w:t>
      </w:r>
      <w:r w:rsidR="00DE01B6" w:rsidRPr="002B6F86">
        <w:rPr>
          <w:sz w:val="24"/>
          <w:szCs w:val="24"/>
        </w:rPr>
        <w:t xml:space="preserve">were measured at </w:t>
      </w:r>
      <w:r w:rsidR="00226480" w:rsidRPr="002B6F86">
        <w:rPr>
          <w:sz w:val="24"/>
          <w:szCs w:val="24"/>
        </w:rPr>
        <w:t xml:space="preserve">3, 6, </w:t>
      </w:r>
      <w:r w:rsidR="00DE01B6" w:rsidRPr="002B6F86">
        <w:rPr>
          <w:sz w:val="24"/>
          <w:szCs w:val="24"/>
        </w:rPr>
        <w:t xml:space="preserve">and </w:t>
      </w:r>
      <w:r w:rsidR="00226480" w:rsidRPr="002B6F86">
        <w:rPr>
          <w:sz w:val="24"/>
          <w:szCs w:val="24"/>
        </w:rPr>
        <w:t xml:space="preserve">12 months.  </w:t>
      </w:r>
      <w:r w:rsidR="00DE01B6" w:rsidRPr="00B34E09">
        <w:rPr>
          <w:sz w:val="24"/>
          <w:szCs w:val="24"/>
        </w:rPr>
        <w:t>Mean PCS and MCS</w:t>
      </w:r>
      <w:r w:rsidR="00191E9B" w:rsidRPr="00B34E09">
        <w:rPr>
          <w:sz w:val="24"/>
          <w:szCs w:val="24"/>
        </w:rPr>
        <w:t xml:space="preserve"> were reduced </w:t>
      </w:r>
      <w:r w:rsidR="00DE01B6" w:rsidRPr="00B34E09">
        <w:rPr>
          <w:sz w:val="24"/>
          <w:szCs w:val="24"/>
        </w:rPr>
        <w:t xml:space="preserve">at </w:t>
      </w:r>
      <w:r w:rsidR="005C77A6" w:rsidRPr="00B34E09">
        <w:rPr>
          <w:sz w:val="24"/>
          <w:szCs w:val="24"/>
        </w:rPr>
        <w:t>all</w:t>
      </w:r>
      <w:r w:rsidR="00DE01B6" w:rsidRPr="00B34E09">
        <w:rPr>
          <w:sz w:val="24"/>
          <w:szCs w:val="24"/>
        </w:rPr>
        <w:t xml:space="preserve"> time points </w:t>
      </w:r>
      <w:r w:rsidR="00191E9B" w:rsidRPr="00B34E09">
        <w:rPr>
          <w:sz w:val="24"/>
          <w:szCs w:val="24"/>
        </w:rPr>
        <w:t>with</w:t>
      </w:r>
      <w:r w:rsidR="00A40C61" w:rsidRPr="00B34E09">
        <w:rPr>
          <w:sz w:val="24"/>
          <w:szCs w:val="24"/>
        </w:rPr>
        <w:t xml:space="preserve"> </w:t>
      </w:r>
      <w:r w:rsidR="005C77A6" w:rsidRPr="00B34E09">
        <w:rPr>
          <w:sz w:val="24"/>
          <w:szCs w:val="24"/>
        </w:rPr>
        <w:t>minimal</w:t>
      </w:r>
      <w:r w:rsidR="00191E9B" w:rsidRPr="00B34E09">
        <w:rPr>
          <w:sz w:val="24"/>
          <w:szCs w:val="24"/>
        </w:rPr>
        <w:t xml:space="preserve"> change between 3 and 12 months. </w:t>
      </w:r>
      <w:r w:rsidR="00A40C61" w:rsidRPr="00B34E09">
        <w:rPr>
          <w:sz w:val="24"/>
          <w:szCs w:val="24"/>
        </w:rPr>
        <w:t xml:space="preserve">In multivariable analysis </w:t>
      </w:r>
      <w:r w:rsidR="00BB0E8E" w:rsidRPr="00B34E09">
        <w:rPr>
          <w:sz w:val="24"/>
          <w:szCs w:val="24"/>
        </w:rPr>
        <w:t xml:space="preserve">increasing </w:t>
      </w:r>
      <w:r w:rsidR="00A40C61" w:rsidRPr="00B34E09">
        <w:rPr>
          <w:sz w:val="24"/>
          <w:szCs w:val="24"/>
        </w:rPr>
        <w:t>p</w:t>
      </w:r>
      <w:r w:rsidR="00191E9B" w:rsidRPr="00B34E09">
        <w:rPr>
          <w:sz w:val="24"/>
          <w:szCs w:val="24"/>
        </w:rPr>
        <w:t xml:space="preserve">re-ICU comorbidity count was strongly associated with </w:t>
      </w:r>
      <w:r w:rsidR="00A40C61" w:rsidRPr="00B34E09">
        <w:rPr>
          <w:sz w:val="24"/>
          <w:szCs w:val="24"/>
        </w:rPr>
        <w:t xml:space="preserve">lower </w:t>
      </w:r>
      <w:proofErr w:type="spellStart"/>
      <w:r w:rsidR="00191E9B" w:rsidRPr="00B34E09">
        <w:rPr>
          <w:sz w:val="24"/>
          <w:szCs w:val="24"/>
        </w:rPr>
        <w:t>HRQoL</w:t>
      </w:r>
      <w:proofErr w:type="spellEnd"/>
      <w:r w:rsidR="00191E9B" w:rsidRPr="00B34E09">
        <w:rPr>
          <w:sz w:val="24"/>
          <w:szCs w:val="24"/>
        </w:rPr>
        <w:t xml:space="preserve"> (PCS </w:t>
      </w:r>
      <w:r w:rsidR="00191E9B" w:rsidRPr="00B34E09">
        <w:rPr>
          <w:sz w:val="24"/>
          <w:szCs w:val="24"/>
        </w:rPr>
        <w:sym w:font="Symbol" w:char="F062"/>
      </w:r>
      <w:r w:rsidR="00191E9B" w:rsidRPr="00B34E09">
        <w:rPr>
          <w:sz w:val="24"/>
          <w:szCs w:val="24"/>
        </w:rPr>
        <w:t>=</w:t>
      </w:r>
      <w:r w:rsidR="00191E9B" w:rsidRPr="00B34E09">
        <w:rPr>
          <w:sz w:val="24"/>
          <w:szCs w:val="24"/>
          <w:lang w:val="en-US"/>
        </w:rPr>
        <w:t>-1.56 (-2.44 to -0.68</w:t>
      </w:r>
      <w:r w:rsidR="00191E9B" w:rsidRPr="00B34E09">
        <w:rPr>
          <w:sz w:val="24"/>
          <w:szCs w:val="24"/>
        </w:rPr>
        <w:t xml:space="preserve">); p=0.001; MCS </w:t>
      </w:r>
      <w:r w:rsidR="00191E9B" w:rsidRPr="00B34E09">
        <w:rPr>
          <w:sz w:val="24"/>
          <w:szCs w:val="24"/>
        </w:rPr>
        <w:sym w:font="Symbol" w:char="F062"/>
      </w:r>
      <w:r w:rsidR="00191E9B" w:rsidRPr="00B34E09">
        <w:rPr>
          <w:sz w:val="24"/>
          <w:szCs w:val="24"/>
        </w:rPr>
        <w:t xml:space="preserve">= </w:t>
      </w:r>
      <w:r w:rsidR="00191E9B" w:rsidRPr="00B34E09">
        <w:rPr>
          <w:sz w:val="24"/>
          <w:szCs w:val="24"/>
          <w:lang w:val="en-US"/>
        </w:rPr>
        <w:t>-1.45 (-2.37 to -0.53)</w:t>
      </w:r>
      <w:r w:rsidR="00191E9B" w:rsidRPr="00B34E09">
        <w:rPr>
          <w:sz w:val="24"/>
          <w:szCs w:val="24"/>
        </w:rPr>
        <w:t xml:space="preserve">; p=0.002) </w:t>
      </w:r>
      <w:r w:rsidR="00B23870" w:rsidRPr="00B34E09">
        <w:rPr>
          <w:sz w:val="24"/>
          <w:szCs w:val="24"/>
        </w:rPr>
        <w:t>and</w:t>
      </w:r>
      <w:r w:rsidR="00191E9B" w:rsidRPr="00B34E09">
        <w:rPr>
          <w:sz w:val="24"/>
          <w:szCs w:val="24"/>
        </w:rPr>
        <w:t xml:space="preserve"> </w:t>
      </w:r>
      <w:r w:rsidR="00BB0E8E" w:rsidRPr="00B34E09">
        <w:rPr>
          <w:sz w:val="24"/>
          <w:szCs w:val="24"/>
        </w:rPr>
        <w:t>more severe</w:t>
      </w:r>
      <w:r w:rsidR="00A40C61" w:rsidRPr="00B34E09">
        <w:rPr>
          <w:sz w:val="24"/>
          <w:szCs w:val="24"/>
        </w:rPr>
        <w:t xml:space="preserve"> </w:t>
      </w:r>
      <w:r w:rsidR="00A323E1" w:rsidRPr="00B34E09">
        <w:rPr>
          <w:sz w:val="24"/>
          <w:szCs w:val="24"/>
        </w:rPr>
        <w:t xml:space="preserve">self-reported </w:t>
      </w:r>
      <w:r w:rsidR="00191E9B" w:rsidRPr="00B34E09">
        <w:rPr>
          <w:sz w:val="24"/>
          <w:szCs w:val="24"/>
        </w:rPr>
        <w:t xml:space="preserve">symptoms. </w:t>
      </w:r>
      <w:r w:rsidR="00A40C61" w:rsidRPr="00B34E09">
        <w:rPr>
          <w:sz w:val="24"/>
          <w:szCs w:val="24"/>
        </w:rPr>
        <w:t xml:space="preserve">In contrast, </w:t>
      </w:r>
      <w:r w:rsidR="00191E9B" w:rsidRPr="00B34E09">
        <w:rPr>
          <w:sz w:val="24"/>
          <w:szCs w:val="24"/>
        </w:rPr>
        <w:t xml:space="preserve">APACHE II score </w:t>
      </w:r>
      <w:r w:rsidR="00287DFB" w:rsidRPr="00B34E09">
        <w:rPr>
          <w:sz w:val="24"/>
          <w:szCs w:val="24"/>
        </w:rPr>
        <w:t>and MV</w:t>
      </w:r>
      <w:r w:rsidR="00A40C61" w:rsidRPr="00B34E09">
        <w:rPr>
          <w:sz w:val="24"/>
          <w:szCs w:val="24"/>
        </w:rPr>
        <w:t xml:space="preserve"> days </w:t>
      </w:r>
      <w:r w:rsidR="00191E9B" w:rsidRPr="00B34E09">
        <w:rPr>
          <w:sz w:val="24"/>
          <w:szCs w:val="24"/>
        </w:rPr>
        <w:t xml:space="preserve">were not associated with </w:t>
      </w:r>
      <w:proofErr w:type="spellStart"/>
      <w:r w:rsidR="00191E9B" w:rsidRPr="00B34E09">
        <w:rPr>
          <w:sz w:val="24"/>
          <w:szCs w:val="24"/>
        </w:rPr>
        <w:t>HRQoL</w:t>
      </w:r>
      <w:proofErr w:type="spellEnd"/>
      <w:r w:rsidR="00191E9B" w:rsidRPr="00B34E09">
        <w:rPr>
          <w:sz w:val="24"/>
          <w:szCs w:val="24"/>
        </w:rPr>
        <w:t>.  Older age (</w:t>
      </w:r>
      <w:r w:rsidR="00191E9B" w:rsidRPr="00B34E09">
        <w:rPr>
          <w:sz w:val="24"/>
          <w:szCs w:val="24"/>
        </w:rPr>
        <w:sym w:font="Symbol" w:char="F062"/>
      </w:r>
      <w:r w:rsidR="00191E9B" w:rsidRPr="00B34E09">
        <w:rPr>
          <w:sz w:val="24"/>
          <w:szCs w:val="24"/>
        </w:rPr>
        <w:t xml:space="preserve"> </w:t>
      </w:r>
      <w:r w:rsidR="00191E9B" w:rsidRPr="00B34E09">
        <w:rPr>
          <w:sz w:val="24"/>
          <w:szCs w:val="24"/>
          <w:lang w:val="en-US"/>
        </w:rPr>
        <w:t>0.33 (0.19 to 0.47)</w:t>
      </w:r>
      <w:r w:rsidR="00191E9B" w:rsidRPr="00B34E09">
        <w:rPr>
          <w:sz w:val="24"/>
          <w:szCs w:val="24"/>
        </w:rPr>
        <w:t xml:space="preserve">; p &lt;0.001) and </w:t>
      </w:r>
      <w:r w:rsidR="006E7028" w:rsidRPr="00B34E09">
        <w:rPr>
          <w:sz w:val="24"/>
          <w:szCs w:val="24"/>
        </w:rPr>
        <w:t>lower</w:t>
      </w:r>
      <w:r w:rsidR="00191E9B" w:rsidRPr="00B34E09">
        <w:rPr>
          <w:sz w:val="24"/>
          <w:szCs w:val="24"/>
        </w:rPr>
        <w:t xml:space="preserve"> social deprivation (</w:t>
      </w:r>
      <w:r w:rsidR="00191E9B" w:rsidRPr="00B34E09">
        <w:rPr>
          <w:sz w:val="24"/>
          <w:szCs w:val="24"/>
        </w:rPr>
        <w:sym w:font="Symbol" w:char="F062"/>
      </w:r>
      <w:r w:rsidR="00191E9B" w:rsidRPr="00B34E09">
        <w:rPr>
          <w:sz w:val="24"/>
          <w:szCs w:val="24"/>
        </w:rPr>
        <w:t xml:space="preserve"> </w:t>
      </w:r>
      <w:r w:rsidR="00191E9B" w:rsidRPr="002B6F86">
        <w:rPr>
          <w:rFonts w:eastAsia="Times New Roman"/>
          <w:color w:val="000000"/>
          <w:sz w:val="24"/>
          <w:szCs w:val="24"/>
        </w:rPr>
        <w:t>1.38 (0.03 to 2.74); p=0.045)</w:t>
      </w:r>
      <w:r w:rsidR="00191E9B" w:rsidRPr="00B34E09">
        <w:rPr>
          <w:sz w:val="24"/>
          <w:szCs w:val="24"/>
        </w:rPr>
        <w:t xml:space="preserve"> were associated with </w:t>
      </w:r>
      <w:r w:rsidR="00E65362" w:rsidRPr="00B34E09">
        <w:rPr>
          <w:sz w:val="24"/>
          <w:szCs w:val="24"/>
        </w:rPr>
        <w:t xml:space="preserve">better </w:t>
      </w:r>
      <w:r w:rsidR="00191E9B" w:rsidRPr="00B34E09">
        <w:rPr>
          <w:sz w:val="24"/>
          <w:szCs w:val="24"/>
        </w:rPr>
        <w:t>MCS</w:t>
      </w:r>
      <w:r w:rsidR="00C50D84" w:rsidRPr="00B34E09">
        <w:rPr>
          <w:sz w:val="24"/>
          <w:szCs w:val="24"/>
        </w:rPr>
        <w:t xml:space="preserve"> </w:t>
      </w:r>
      <w:proofErr w:type="spellStart"/>
      <w:r w:rsidR="00C50D84" w:rsidRPr="00B34E09">
        <w:rPr>
          <w:sz w:val="24"/>
          <w:szCs w:val="24"/>
        </w:rPr>
        <w:t>HRQoL</w:t>
      </w:r>
      <w:proofErr w:type="spellEnd"/>
      <w:r w:rsidR="00191E9B" w:rsidRPr="00B34E09">
        <w:rPr>
          <w:sz w:val="24"/>
          <w:szCs w:val="24"/>
        </w:rPr>
        <w:t xml:space="preserve">.  </w:t>
      </w:r>
    </w:p>
    <w:p w14:paraId="4E2C69B3" w14:textId="6EAB98A1" w:rsidR="00226480" w:rsidRPr="002B6F86" w:rsidRDefault="00226480">
      <w:pPr>
        <w:spacing w:line="480" w:lineRule="auto"/>
        <w:jc w:val="both"/>
        <w:rPr>
          <w:i/>
          <w:sz w:val="24"/>
          <w:szCs w:val="24"/>
        </w:rPr>
      </w:pPr>
      <w:r w:rsidRPr="002B6F86">
        <w:rPr>
          <w:i/>
          <w:sz w:val="24"/>
          <w:szCs w:val="24"/>
        </w:rPr>
        <w:t>Conclusions</w:t>
      </w:r>
    </w:p>
    <w:p w14:paraId="57130DF8" w14:textId="61C68551" w:rsidR="005C77A6" w:rsidRPr="002B6F86" w:rsidRDefault="0069744F" w:rsidP="00B34E09">
      <w:pPr>
        <w:spacing w:line="480" w:lineRule="auto"/>
        <w:ind w:firstLine="720"/>
        <w:jc w:val="both"/>
        <w:rPr>
          <w:sz w:val="24"/>
          <w:szCs w:val="24"/>
        </w:rPr>
      </w:pPr>
      <w:r w:rsidRPr="002B6F86">
        <w:rPr>
          <w:sz w:val="24"/>
          <w:szCs w:val="24"/>
        </w:rPr>
        <w:t>Pre-existing comorbidity count, but not severity of</w:t>
      </w:r>
      <w:r w:rsidR="00C50D84" w:rsidRPr="002B6F86">
        <w:rPr>
          <w:sz w:val="24"/>
          <w:szCs w:val="24"/>
        </w:rPr>
        <w:t xml:space="preserve"> ICU</w:t>
      </w:r>
      <w:r w:rsidRPr="002B6F86">
        <w:rPr>
          <w:sz w:val="24"/>
          <w:szCs w:val="24"/>
        </w:rPr>
        <w:t xml:space="preserve"> illness, are strongly associated</w:t>
      </w:r>
      <w:r w:rsidR="00191E9B" w:rsidRPr="002B6F86">
        <w:rPr>
          <w:sz w:val="24"/>
          <w:szCs w:val="24"/>
        </w:rPr>
        <w:t xml:space="preserve"> </w:t>
      </w:r>
      <w:r w:rsidRPr="002B6F86">
        <w:rPr>
          <w:sz w:val="24"/>
          <w:szCs w:val="24"/>
        </w:rPr>
        <w:t xml:space="preserve">with </w:t>
      </w:r>
      <w:proofErr w:type="spellStart"/>
      <w:r w:rsidR="00191E9B" w:rsidRPr="002B6F86">
        <w:rPr>
          <w:sz w:val="24"/>
          <w:szCs w:val="24"/>
        </w:rPr>
        <w:t>HRQoL</w:t>
      </w:r>
      <w:proofErr w:type="spellEnd"/>
      <w:r w:rsidR="00AB43B2" w:rsidRPr="002B6F86">
        <w:rPr>
          <w:sz w:val="24"/>
          <w:szCs w:val="24"/>
        </w:rPr>
        <w:t xml:space="preserve"> and physical symptoms</w:t>
      </w:r>
      <w:r w:rsidR="00191E9B" w:rsidRPr="002B6F86">
        <w:rPr>
          <w:sz w:val="24"/>
          <w:szCs w:val="24"/>
        </w:rPr>
        <w:t xml:space="preserve"> </w:t>
      </w:r>
      <w:r w:rsidRPr="002B6F86">
        <w:rPr>
          <w:sz w:val="24"/>
          <w:szCs w:val="24"/>
        </w:rPr>
        <w:t xml:space="preserve">in the year following </w:t>
      </w:r>
      <w:r w:rsidR="00191E9B" w:rsidRPr="002B6F86">
        <w:rPr>
          <w:sz w:val="24"/>
          <w:szCs w:val="24"/>
        </w:rPr>
        <w:t xml:space="preserve">critical illness. </w:t>
      </w:r>
    </w:p>
    <w:p w14:paraId="0DC2E750" w14:textId="77777777" w:rsidR="005C77A6" w:rsidRPr="002B6F86" w:rsidRDefault="005C77A6">
      <w:pPr>
        <w:spacing w:line="480" w:lineRule="auto"/>
        <w:jc w:val="both"/>
        <w:rPr>
          <w:sz w:val="24"/>
          <w:szCs w:val="24"/>
        </w:rPr>
      </w:pPr>
    </w:p>
    <w:p w14:paraId="7697213C" w14:textId="454BC16C" w:rsidR="00D64809" w:rsidRPr="002B6F86" w:rsidRDefault="005C77A6">
      <w:pPr>
        <w:spacing w:line="480" w:lineRule="auto"/>
        <w:jc w:val="both"/>
        <w:rPr>
          <w:sz w:val="24"/>
          <w:szCs w:val="24"/>
        </w:rPr>
      </w:pPr>
      <w:r w:rsidRPr="002B6F86">
        <w:rPr>
          <w:sz w:val="24"/>
          <w:szCs w:val="24"/>
        </w:rPr>
        <w:t xml:space="preserve">Abstract word count: </w:t>
      </w:r>
      <w:r w:rsidR="003964B9">
        <w:rPr>
          <w:sz w:val="24"/>
          <w:szCs w:val="24"/>
        </w:rPr>
        <w:t>300</w:t>
      </w:r>
      <w:r w:rsidR="00D64809" w:rsidRPr="002B6F86">
        <w:rPr>
          <w:sz w:val="24"/>
          <w:szCs w:val="24"/>
        </w:rPr>
        <w:br w:type="page"/>
      </w:r>
    </w:p>
    <w:p w14:paraId="5E6BC5D4" w14:textId="06483690" w:rsidR="00650F9D" w:rsidRPr="00B34E09" w:rsidRDefault="006F1F44">
      <w:pPr>
        <w:spacing w:line="480" w:lineRule="auto"/>
        <w:jc w:val="both"/>
        <w:rPr>
          <w:b/>
          <w:sz w:val="24"/>
          <w:szCs w:val="24"/>
        </w:rPr>
      </w:pPr>
      <w:r>
        <w:rPr>
          <w:b/>
          <w:sz w:val="24"/>
          <w:szCs w:val="24"/>
        </w:rPr>
        <w:lastRenderedPageBreak/>
        <w:t>INTRODUCTION</w:t>
      </w:r>
    </w:p>
    <w:p w14:paraId="340D533D" w14:textId="158D7947" w:rsidR="00D9390B" w:rsidRPr="002B6F86" w:rsidRDefault="00CD1BB3" w:rsidP="00B34E09">
      <w:pPr>
        <w:spacing w:line="480" w:lineRule="auto"/>
        <w:ind w:firstLine="720"/>
        <w:jc w:val="both"/>
        <w:rPr>
          <w:sz w:val="24"/>
          <w:szCs w:val="24"/>
        </w:rPr>
      </w:pPr>
      <w:r w:rsidRPr="002B6F86">
        <w:rPr>
          <w:sz w:val="24"/>
          <w:szCs w:val="24"/>
        </w:rPr>
        <w:t xml:space="preserve">ICU survivors </w:t>
      </w:r>
      <w:r w:rsidR="008D76AF" w:rsidRPr="002B6F86">
        <w:rPr>
          <w:sz w:val="24"/>
          <w:szCs w:val="24"/>
        </w:rPr>
        <w:t>report</w:t>
      </w:r>
      <w:r w:rsidRPr="002B6F86">
        <w:rPr>
          <w:sz w:val="24"/>
          <w:szCs w:val="24"/>
        </w:rPr>
        <w:t xml:space="preserve"> </w:t>
      </w:r>
      <w:r w:rsidR="00CF0726" w:rsidRPr="002B6F86">
        <w:rPr>
          <w:sz w:val="24"/>
          <w:szCs w:val="24"/>
        </w:rPr>
        <w:t xml:space="preserve">poor </w:t>
      </w:r>
      <w:r w:rsidR="00D9390B" w:rsidRPr="002B6F86">
        <w:rPr>
          <w:sz w:val="24"/>
          <w:szCs w:val="24"/>
        </w:rPr>
        <w:t>health-related quality of life</w:t>
      </w:r>
      <w:r w:rsidR="008D76AF" w:rsidRPr="002B6F86">
        <w:rPr>
          <w:sz w:val="24"/>
          <w:szCs w:val="24"/>
        </w:rPr>
        <w:t xml:space="preserve"> (</w:t>
      </w:r>
      <w:proofErr w:type="spellStart"/>
      <w:r w:rsidR="008D76AF" w:rsidRPr="002B6F86">
        <w:rPr>
          <w:sz w:val="24"/>
          <w:szCs w:val="24"/>
        </w:rPr>
        <w:t>HRQoL</w:t>
      </w:r>
      <w:proofErr w:type="spellEnd"/>
      <w:r w:rsidR="008D76AF" w:rsidRPr="002B6F86">
        <w:rPr>
          <w:sz w:val="24"/>
          <w:szCs w:val="24"/>
        </w:rPr>
        <w:t>)</w:t>
      </w:r>
      <w:r w:rsidR="00D9390B" w:rsidRPr="002B6F86">
        <w:rPr>
          <w:sz w:val="24"/>
          <w:szCs w:val="24"/>
        </w:rPr>
        <w:t xml:space="preserve"> </w:t>
      </w:r>
      <w:r w:rsidR="008D76AF" w:rsidRPr="002B6F86">
        <w:rPr>
          <w:sz w:val="24"/>
          <w:szCs w:val="24"/>
        </w:rPr>
        <w:t xml:space="preserve">in the months and years following hospital </w:t>
      </w:r>
      <w:proofErr w:type="gramStart"/>
      <w:r w:rsidR="008D76AF" w:rsidRPr="002B6F86">
        <w:rPr>
          <w:sz w:val="24"/>
          <w:szCs w:val="24"/>
        </w:rPr>
        <w:t>discharge</w:t>
      </w:r>
      <w:r w:rsidR="001251CB" w:rsidRPr="002B6F86">
        <w:rPr>
          <w:sz w:val="24"/>
          <w:szCs w:val="24"/>
        </w:rPr>
        <w:t>.</w:t>
      </w:r>
      <w:r w:rsidR="00685DCE" w:rsidRPr="00B34E09">
        <w:rPr>
          <w:rFonts w:eastAsia="Times New Roman"/>
          <w:sz w:val="24"/>
        </w:rPr>
        <w:t>(</w:t>
      </w:r>
      <w:proofErr w:type="gramEnd"/>
      <w:r w:rsidR="00685DCE" w:rsidRPr="00B34E09">
        <w:rPr>
          <w:rFonts w:eastAsia="Times New Roman"/>
          <w:sz w:val="24"/>
        </w:rPr>
        <w:t>1–3)</w:t>
      </w:r>
      <w:r w:rsidR="00344884" w:rsidRPr="002B6F86" w:rsidDel="00344884">
        <w:rPr>
          <w:sz w:val="24"/>
          <w:szCs w:val="24"/>
        </w:rPr>
        <w:t xml:space="preserve"> </w:t>
      </w:r>
      <w:r w:rsidR="008D76AF" w:rsidRPr="002B6F86">
        <w:rPr>
          <w:sz w:val="24"/>
          <w:szCs w:val="24"/>
        </w:rPr>
        <w:t>R</w:t>
      </w:r>
      <w:r w:rsidR="00405C6A" w:rsidRPr="002B6F86">
        <w:rPr>
          <w:sz w:val="24"/>
          <w:szCs w:val="24"/>
        </w:rPr>
        <w:t xml:space="preserve">ehabilitation trials </w:t>
      </w:r>
      <w:r w:rsidR="003E7F7A" w:rsidRPr="002B6F86">
        <w:rPr>
          <w:sz w:val="24"/>
          <w:szCs w:val="24"/>
        </w:rPr>
        <w:t xml:space="preserve">testing numerous interventions during and after ICU </w:t>
      </w:r>
      <w:r w:rsidR="00405C6A" w:rsidRPr="002B6F86">
        <w:rPr>
          <w:sz w:val="24"/>
          <w:szCs w:val="24"/>
        </w:rPr>
        <w:t xml:space="preserve">have </w:t>
      </w:r>
      <w:r w:rsidR="003E7F7A" w:rsidRPr="002B6F86">
        <w:rPr>
          <w:sz w:val="24"/>
          <w:szCs w:val="24"/>
        </w:rPr>
        <w:t>been ineffective at improving</w:t>
      </w:r>
      <w:r w:rsidR="00405C6A" w:rsidRPr="002B6F86">
        <w:rPr>
          <w:sz w:val="24"/>
          <w:szCs w:val="24"/>
        </w:rPr>
        <w:t xml:space="preserve"> </w:t>
      </w:r>
      <w:proofErr w:type="spellStart"/>
      <w:r w:rsidR="001251CB" w:rsidRPr="002B6F86">
        <w:rPr>
          <w:sz w:val="24"/>
          <w:szCs w:val="24"/>
        </w:rPr>
        <w:t>HRQoL</w:t>
      </w:r>
      <w:proofErr w:type="spellEnd"/>
      <w:r w:rsidR="00405C6A" w:rsidRPr="002B6F86">
        <w:rPr>
          <w:sz w:val="24"/>
          <w:szCs w:val="24"/>
        </w:rPr>
        <w:t xml:space="preserve"> and other measures of health status</w:t>
      </w:r>
      <w:r w:rsidR="008D76AF" w:rsidRPr="002B6F86">
        <w:rPr>
          <w:sz w:val="24"/>
          <w:szCs w:val="24"/>
        </w:rPr>
        <w:t>.</w:t>
      </w:r>
      <w:r w:rsidR="00685DCE" w:rsidRPr="00B34E09">
        <w:rPr>
          <w:rFonts w:eastAsia="Times New Roman"/>
          <w:sz w:val="24"/>
        </w:rPr>
        <w:t>(4–10)</w:t>
      </w:r>
      <w:r w:rsidR="00405C6A" w:rsidRPr="002B6F86">
        <w:rPr>
          <w:sz w:val="24"/>
          <w:szCs w:val="24"/>
        </w:rPr>
        <w:t xml:space="preserve"> </w:t>
      </w:r>
      <w:r w:rsidR="00685DCE">
        <w:rPr>
          <w:noProof/>
          <w:sz w:val="24"/>
          <w:szCs w:val="24"/>
        </w:rPr>
        <w:t>(11)</w:t>
      </w:r>
      <w:r w:rsidR="00405C6A" w:rsidRPr="002B6F86">
        <w:rPr>
          <w:sz w:val="24"/>
          <w:szCs w:val="24"/>
        </w:rPr>
        <w:t xml:space="preserve"> </w:t>
      </w:r>
      <w:r w:rsidR="008D76AF" w:rsidRPr="002B6F86">
        <w:rPr>
          <w:sz w:val="24"/>
          <w:szCs w:val="24"/>
        </w:rPr>
        <w:t xml:space="preserve">When </w:t>
      </w:r>
      <w:r w:rsidR="003E7F7A" w:rsidRPr="002B6F86">
        <w:rPr>
          <w:sz w:val="24"/>
          <w:szCs w:val="24"/>
        </w:rPr>
        <w:t xml:space="preserve">positive </w:t>
      </w:r>
      <w:r w:rsidR="008D76AF" w:rsidRPr="002B6F86">
        <w:rPr>
          <w:sz w:val="24"/>
          <w:szCs w:val="24"/>
        </w:rPr>
        <w:t>effects have been described, they have been limited to</w:t>
      </w:r>
      <w:r w:rsidR="00D9390B" w:rsidRPr="002B6F86">
        <w:rPr>
          <w:sz w:val="24"/>
          <w:szCs w:val="24"/>
        </w:rPr>
        <w:t xml:space="preserve"> </w:t>
      </w:r>
      <w:proofErr w:type="spellStart"/>
      <w:r w:rsidR="00D9390B" w:rsidRPr="002B6F86">
        <w:rPr>
          <w:sz w:val="24"/>
          <w:szCs w:val="24"/>
        </w:rPr>
        <w:t>HRQoL</w:t>
      </w:r>
      <w:proofErr w:type="spellEnd"/>
      <w:r w:rsidR="00D9390B" w:rsidRPr="002B6F86">
        <w:rPr>
          <w:sz w:val="24"/>
          <w:szCs w:val="24"/>
        </w:rPr>
        <w:t xml:space="preserve"> sub-domains </w:t>
      </w:r>
      <w:r w:rsidR="00976221" w:rsidRPr="002B6F86">
        <w:rPr>
          <w:sz w:val="24"/>
          <w:szCs w:val="24"/>
        </w:rPr>
        <w:t xml:space="preserve">at </w:t>
      </w:r>
      <w:r w:rsidR="001D7D68" w:rsidRPr="002B6F86">
        <w:rPr>
          <w:sz w:val="24"/>
          <w:szCs w:val="24"/>
        </w:rPr>
        <w:t>t</w:t>
      </w:r>
      <w:r w:rsidR="00976221" w:rsidRPr="002B6F86">
        <w:rPr>
          <w:sz w:val="24"/>
          <w:szCs w:val="24"/>
        </w:rPr>
        <w:t xml:space="preserve">ime points </w:t>
      </w:r>
      <w:r w:rsidR="00D9390B" w:rsidRPr="002B6F86">
        <w:rPr>
          <w:sz w:val="24"/>
          <w:szCs w:val="24"/>
        </w:rPr>
        <w:t>that are of uncertain clinical significance.</w:t>
      </w:r>
      <w:r w:rsidR="00685DCE">
        <w:rPr>
          <w:rFonts w:eastAsia="Times New Roman"/>
          <w:sz w:val="24"/>
          <w:szCs w:val="24"/>
        </w:rPr>
        <w:t>(5)(6)(7)(8)(9, 10)</w:t>
      </w:r>
    </w:p>
    <w:p w14:paraId="5A151913" w14:textId="19C8F370" w:rsidR="00EB376F" w:rsidRPr="002B6F86" w:rsidRDefault="00A90A89" w:rsidP="00B34E09">
      <w:pPr>
        <w:spacing w:line="480" w:lineRule="auto"/>
        <w:ind w:firstLine="720"/>
        <w:jc w:val="both"/>
        <w:rPr>
          <w:sz w:val="24"/>
          <w:szCs w:val="24"/>
        </w:rPr>
      </w:pPr>
      <w:r w:rsidRPr="002B6F86">
        <w:rPr>
          <w:sz w:val="24"/>
          <w:szCs w:val="24"/>
        </w:rPr>
        <w:t xml:space="preserve">Given these results, it is reasonable to assume that </w:t>
      </w:r>
      <w:r w:rsidR="003E7F7A" w:rsidRPr="002B6F86">
        <w:rPr>
          <w:sz w:val="24"/>
          <w:szCs w:val="24"/>
        </w:rPr>
        <w:t xml:space="preserve">the interventions </w:t>
      </w:r>
      <w:r w:rsidRPr="002B6F86">
        <w:rPr>
          <w:sz w:val="24"/>
          <w:szCs w:val="24"/>
        </w:rPr>
        <w:t>tested are</w:t>
      </w:r>
      <w:r w:rsidR="0069744F" w:rsidRPr="002B6F86">
        <w:rPr>
          <w:sz w:val="24"/>
          <w:szCs w:val="24"/>
        </w:rPr>
        <w:t xml:space="preserve"> ineffective </w:t>
      </w:r>
      <w:r w:rsidRPr="002B6F86">
        <w:rPr>
          <w:sz w:val="24"/>
          <w:szCs w:val="24"/>
        </w:rPr>
        <w:t>and</w:t>
      </w:r>
      <w:r w:rsidR="0069744F" w:rsidRPr="002B6F86">
        <w:rPr>
          <w:sz w:val="24"/>
          <w:szCs w:val="24"/>
        </w:rPr>
        <w:t xml:space="preserve"> that</w:t>
      </w:r>
      <w:r w:rsidR="003E7F7A" w:rsidRPr="002B6F86">
        <w:rPr>
          <w:sz w:val="24"/>
          <w:szCs w:val="24"/>
        </w:rPr>
        <w:t xml:space="preserve"> </w:t>
      </w:r>
      <w:r w:rsidR="0069744F" w:rsidRPr="002B6F86">
        <w:rPr>
          <w:sz w:val="24"/>
          <w:szCs w:val="24"/>
        </w:rPr>
        <w:t>greater</w:t>
      </w:r>
      <w:r w:rsidR="003E7F7A" w:rsidRPr="002B6F86">
        <w:rPr>
          <w:sz w:val="24"/>
          <w:szCs w:val="24"/>
        </w:rPr>
        <w:t xml:space="preserve"> knowledge of the underlying pathophysiology </w:t>
      </w:r>
      <w:r w:rsidR="0069744F" w:rsidRPr="002B6F86">
        <w:rPr>
          <w:sz w:val="24"/>
          <w:szCs w:val="24"/>
        </w:rPr>
        <w:t>and the</w:t>
      </w:r>
      <w:r w:rsidR="003E7F7A" w:rsidRPr="002B6F86">
        <w:rPr>
          <w:sz w:val="24"/>
          <w:szCs w:val="24"/>
        </w:rPr>
        <w:t xml:space="preserve"> </w:t>
      </w:r>
      <w:r w:rsidR="00D43F56" w:rsidRPr="002B6F86">
        <w:rPr>
          <w:sz w:val="24"/>
          <w:szCs w:val="24"/>
        </w:rPr>
        <w:t>approaches used in future trials</w:t>
      </w:r>
      <w:r w:rsidR="003E7F7A" w:rsidRPr="002B6F86">
        <w:rPr>
          <w:sz w:val="24"/>
          <w:szCs w:val="24"/>
        </w:rPr>
        <w:t xml:space="preserve"> should be </w:t>
      </w:r>
      <w:r w:rsidR="00D43F56" w:rsidRPr="002B6F86">
        <w:rPr>
          <w:sz w:val="24"/>
          <w:szCs w:val="24"/>
        </w:rPr>
        <w:t xml:space="preserve">research </w:t>
      </w:r>
      <w:r w:rsidR="003E7F7A" w:rsidRPr="002B6F86">
        <w:rPr>
          <w:sz w:val="24"/>
          <w:szCs w:val="24"/>
        </w:rPr>
        <w:t>prioriti</w:t>
      </w:r>
      <w:r w:rsidR="00D43F56" w:rsidRPr="002B6F86">
        <w:rPr>
          <w:sz w:val="24"/>
          <w:szCs w:val="24"/>
        </w:rPr>
        <w:t>es</w:t>
      </w:r>
      <w:r w:rsidR="003E7F7A" w:rsidRPr="002B6F86">
        <w:rPr>
          <w:sz w:val="24"/>
          <w:szCs w:val="24"/>
        </w:rPr>
        <w:t xml:space="preserve">.  </w:t>
      </w:r>
      <w:r w:rsidR="00D43F56" w:rsidRPr="002B6F86">
        <w:rPr>
          <w:sz w:val="24"/>
          <w:szCs w:val="24"/>
        </w:rPr>
        <w:t>However, it is also possible that</w:t>
      </w:r>
      <w:r w:rsidRPr="002B6F86">
        <w:rPr>
          <w:sz w:val="24"/>
          <w:szCs w:val="24"/>
        </w:rPr>
        <w:t xml:space="preserve"> </w:t>
      </w:r>
      <w:r w:rsidR="00D43F56" w:rsidRPr="002B6F86">
        <w:rPr>
          <w:sz w:val="24"/>
          <w:szCs w:val="24"/>
        </w:rPr>
        <w:t xml:space="preserve">the </w:t>
      </w:r>
      <w:r w:rsidR="00950AAE" w:rsidRPr="002B6F86">
        <w:rPr>
          <w:sz w:val="24"/>
          <w:szCs w:val="24"/>
        </w:rPr>
        <w:t>heterogene</w:t>
      </w:r>
      <w:r w:rsidR="00EF2FB9" w:rsidRPr="002B6F86">
        <w:rPr>
          <w:sz w:val="24"/>
          <w:szCs w:val="24"/>
        </w:rPr>
        <w:t>ous</w:t>
      </w:r>
      <w:r w:rsidR="00950AAE" w:rsidRPr="002B6F86">
        <w:rPr>
          <w:sz w:val="24"/>
          <w:szCs w:val="24"/>
        </w:rPr>
        <w:t xml:space="preserve"> </w:t>
      </w:r>
      <w:r w:rsidR="003E7F7A" w:rsidRPr="002B6F86">
        <w:rPr>
          <w:sz w:val="24"/>
          <w:szCs w:val="24"/>
        </w:rPr>
        <w:t xml:space="preserve">ICU </w:t>
      </w:r>
      <w:r w:rsidR="00D43F56" w:rsidRPr="002B6F86">
        <w:rPr>
          <w:sz w:val="24"/>
          <w:szCs w:val="24"/>
        </w:rPr>
        <w:t>populations</w:t>
      </w:r>
      <w:r w:rsidRPr="002B6F86">
        <w:rPr>
          <w:sz w:val="24"/>
          <w:szCs w:val="24"/>
        </w:rPr>
        <w:t xml:space="preserve"> included in trials</w:t>
      </w:r>
      <w:r w:rsidR="00D43F56" w:rsidRPr="002B6F86">
        <w:rPr>
          <w:sz w:val="24"/>
          <w:szCs w:val="24"/>
        </w:rPr>
        <w:t xml:space="preserve"> include</w:t>
      </w:r>
      <w:r w:rsidRPr="002B6F86">
        <w:rPr>
          <w:sz w:val="24"/>
          <w:szCs w:val="24"/>
        </w:rPr>
        <w:t xml:space="preserve"> </w:t>
      </w:r>
      <w:r w:rsidR="00950AAE" w:rsidRPr="002B6F86">
        <w:rPr>
          <w:sz w:val="24"/>
          <w:szCs w:val="24"/>
        </w:rPr>
        <w:t xml:space="preserve">subgroups of patients </w:t>
      </w:r>
      <w:r w:rsidRPr="002B6F86">
        <w:rPr>
          <w:sz w:val="24"/>
          <w:szCs w:val="24"/>
        </w:rPr>
        <w:t xml:space="preserve">that </w:t>
      </w:r>
      <w:r w:rsidR="00976221" w:rsidRPr="002B6F86">
        <w:rPr>
          <w:sz w:val="24"/>
          <w:szCs w:val="24"/>
        </w:rPr>
        <w:t>respond differently</w:t>
      </w:r>
      <w:r w:rsidRPr="002B6F86">
        <w:rPr>
          <w:sz w:val="24"/>
          <w:szCs w:val="24"/>
        </w:rPr>
        <w:t xml:space="preserve"> </w:t>
      </w:r>
      <w:r w:rsidR="0069744F" w:rsidRPr="002B6F86">
        <w:rPr>
          <w:sz w:val="24"/>
          <w:szCs w:val="24"/>
        </w:rPr>
        <w:t>to interventions</w:t>
      </w:r>
      <w:r w:rsidR="00D43F56" w:rsidRPr="002B6F86">
        <w:rPr>
          <w:sz w:val="24"/>
          <w:szCs w:val="24"/>
        </w:rPr>
        <w:t>. Specifically, some</w:t>
      </w:r>
      <w:r w:rsidR="00DE64E1" w:rsidRPr="002B6F86">
        <w:rPr>
          <w:sz w:val="24"/>
          <w:szCs w:val="24"/>
        </w:rPr>
        <w:t xml:space="preserve"> patients</w:t>
      </w:r>
      <w:r w:rsidRPr="002B6F86">
        <w:rPr>
          <w:sz w:val="24"/>
          <w:szCs w:val="24"/>
        </w:rPr>
        <w:t xml:space="preserve"> </w:t>
      </w:r>
      <w:r w:rsidR="00D43F56" w:rsidRPr="002B6F86">
        <w:rPr>
          <w:sz w:val="24"/>
          <w:szCs w:val="24"/>
        </w:rPr>
        <w:t>may have</w:t>
      </w:r>
      <w:r w:rsidRPr="002B6F86">
        <w:rPr>
          <w:sz w:val="24"/>
          <w:szCs w:val="24"/>
        </w:rPr>
        <w:t xml:space="preserve"> </w:t>
      </w:r>
      <w:r w:rsidR="00DE64E1" w:rsidRPr="002B6F86">
        <w:rPr>
          <w:sz w:val="24"/>
          <w:szCs w:val="24"/>
        </w:rPr>
        <w:t>refractory functional</w:t>
      </w:r>
      <w:r w:rsidR="00CF0726" w:rsidRPr="002B6F86">
        <w:rPr>
          <w:sz w:val="24"/>
          <w:szCs w:val="24"/>
        </w:rPr>
        <w:t xml:space="preserve"> impairments</w:t>
      </w:r>
      <w:r w:rsidR="00DE64E1" w:rsidRPr="002B6F86">
        <w:rPr>
          <w:sz w:val="24"/>
          <w:szCs w:val="24"/>
        </w:rPr>
        <w:t xml:space="preserve">, perhaps </w:t>
      </w:r>
      <w:r w:rsidR="00D43F56" w:rsidRPr="002B6F86">
        <w:rPr>
          <w:sz w:val="24"/>
          <w:szCs w:val="24"/>
        </w:rPr>
        <w:t>as a</w:t>
      </w:r>
      <w:r w:rsidR="00DE64E1" w:rsidRPr="002B6F86">
        <w:rPr>
          <w:sz w:val="24"/>
          <w:szCs w:val="24"/>
        </w:rPr>
        <w:t xml:space="preserve"> result of pre-ICU </w:t>
      </w:r>
      <w:r w:rsidR="00CF0726" w:rsidRPr="002B6F86">
        <w:rPr>
          <w:sz w:val="24"/>
          <w:szCs w:val="24"/>
        </w:rPr>
        <w:t>health</w:t>
      </w:r>
      <w:r w:rsidR="00D43F56" w:rsidRPr="002B6F86">
        <w:rPr>
          <w:sz w:val="24"/>
          <w:szCs w:val="24"/>
        </w:rPr>
        <w:t xml:space="preserve"> that cannot be modified. These patients might</w:t>
      </w:r>
      <w:r w:rsidR="00DE64E1" w:rsidRPr="002B6F86">
        <w:rPr>
          <w:sz w:val="24"/>
          <w:szCs w:val="24"/>
        </w:rPr>
        <w:t xml:space="preserve"> </w:t>
      </w:r>
      <w:r w:rsidRPr="002B6F86">
        <w:rPr>
          <w:sz w:val="24"/>
          <w:szCs w:val="24"/>
        </w:rPr>
        <w:t xml:space="preserve">mask </w:t>
      </w:r>
      <w:r w:rsidR="00D43F56" w:rsidRPr="002B6F86">
        <w:rPr>
          <w:sz w:val="24"/>
          <w:szCs w:val="24"/>
        </w:rPr>
        <w:t>important</w:t>
      </w:r>
      <w:r w:rsidRPr="002B6F86">
        <w:rPr>
          <w:sz w:val="24"/>
          <w:szCs w:val="24"/>
        </w:rPr>
        <w:t xml:space="preserve"> positive effects in other sub-</w:t>
      </w:r>
      <w:proofErr w:type="gramStart"/>
      <w:r w:rsidRPr="002B6F86">
        <w:rPr>
          <w:sz w:val="24"/>
          <w:szCs w:val="24"/>
        </w:rPr>
        <w:t>populations.</w:t>
      </w:r>
      <w:r w:rsidR="00685DCE">
        <w:rPr>
          <w:noProof/>
          <w:sz w:val="24"/>
          <w:szCs w:val="24"/>
        </w:rPr>
        <w:t>(</w:t>
      </w:r>
      <w:proofErr w:type="gramEnd"/>
      <w:r w:rsidR="00685DCE">
        <w:rPr>
          <w:noProof/>
          <w:sz w:val="24"/>
          <w:szCs w:val="24"/>
        </w:rPr>
        <w:t>12)(13)</w:t>
      </w:r>
    </w:p>
    <w:p w14:paraId="65ADBB67" w14:textId="0CAB1F68" w:rsidR="00714486" w:rsidRPr="002B6F86" w:rsidRDefault="00812B4B" w:rsidP="00B34E09">
      <w:pPr>
        <w:spacing w:line="480" w:lineRule="auto"/>
        <w:ind w:firstLine="720"/>
        <w:jc w:val="both"/>
        <w:rPr>
          <w:sz w:val="24"/>
          <w:szCs w:val="24"/>
        </w:rPr>
      </w:pPr>
      <w:r w:rsidRPr="002B6F86">
        <w:rPr>
          <w:sz w:val="24"/>
          <w:szCs w:val="24"/>
        </w:rPr>
        <w:t xml:space="preserve">The </w:t>
      </w:r>
      <w:r w:rsidR="00134428" w:rsidRPr="002B6F86">
        <w:rPr>
          <w:sz w:val="24"/>
          <w:szCs w:val="24"/>
        </w:rPr>
        <w:t>post-intensive care syndrome (PICS)</w:t>
      </w:r>
      <w:r w:rsidRPr="002B6F86">
        <w:rPr>
          <w:sz w:val="24"/>
          <w:szCs w:val="24"/>
        </w:rPr>
        <w:t xml:space="preserve"> </w:t>
      </w:r>
      <w:r w:rsidR="001251CB" w:rsidRPr="002B6F86">
        <w:rPr>
          <w:sz w:val="24"/>
          <w:szCs w:val="24"/>
        </w:rPr>
        <w:t>conceptualises</w:t>
      </w:r>
      <w:r w:rsidRPr="002B6F86">
        <w:rPr>
          <w:sz w:val="24"/>
          <w:szCs w:val="24"/>
        </w:rPr>
        <w:t xml:space="preserve"> the direct effects of critical illness on</w:t>
      </w:r>
      <w:r w:rsidR="00714486" w:rsidRPr="002B6F86">
        <w:rPr>
          <w:sz w:val="24"/>
          <w:szCs w:val="24"/>
        </w:rPr>
        <w:t xml:space="preserve"> </w:t>
      </w:r>
      <w:r w:rsidRPr="002B6F86">
        <w:rPr>
          <w:sz w:val="24"/>
          <w:szCs w:val="24"/>
        </w:rPr>
        <w:t>physical and mental health</w:t>
      </w:r>
      <w:r w:rsidR="00404964" w:rsidRPr="002B6F86">
        <w:rPr>
          <w:sz w:val="24"/>
          <w:szCs w:val="24"/>
        </w:rPr>
        <w:t>,</w:t>
      </w:r>
      <w:r w:rsidR="00EB376F" w:rsidRPr="002B6F86">
        <w:rPr>
          <w:sz w:val="24"/>
          <w:szCs w:val="24"/>
        </w:rPr>
        <w:t xml:space="preserve"> but the</w:t>
      </w:r>
      <w:r w:rsidRPr="002B6F86">
        <w:rPr>
          <w:sz w:val="24"/>
          <w:szCs w:val="24"/>
        </w:rPr>
        <w:t xml:space="preserve"> importance of pre-existing illness </w:t>
      </w:r>
      <w:r w:rsidR="00404964" w:rsidRPr="002B6F86">
        <w:rPr>
          <w:sz w:val="24"/>
          <w:szCs w:val="24"/>
        </w:rPr>
        <w:t>relative to</w:t>
      </w:r>
      <w:r w:rsidRPr="002B6F86">
        <w:rPr>
          <w:sz w:val="24"/>
          <w:szCs w:val="24"/>
        </w:rPr>
        <w:t xml:space="preserve"> the acute ‘hit’ of critical illness </w:t>
      </w:r>
      <w:r w:rsidR="00453FAB" w:rsidRPr="002B6F86">
        <w:rPr>
          <w:sz w:val="24"/>
          <w:szCs w:val="24"/>
        </w:rPr>
        <w:t>remain</w:t>
      </w:r>
      <w:r w:rsidR="00FA5FC6" w:rsidRPr="002B6F86">
        <w:rPr>
          <w:sz w:val="24"/>
          <w:szCs w:val="24"/>
        </w:rPr>
        <w:t>s</w:t>
      </w:r>
      <w:r w:rsidR="00EB376F" w:rsidRPr="002B6F86">
        <w:rPr>
          <w:sz w:val="24"/>
          <w:szCs w:val="24"/>
        </w:rPr>
        <w:t xml:space="preserve"> poorly understood. </w:t>
      </w:r>
      <w:r w:rsidR="00404964" w:rsidRPr="002B6F86">
        <w:rPr>
          <w:sz w:val="24"/>
          <w:szCs w:val="24"/>
        </w:rPr>
        <w:t>An improved</w:t>
      </w:r>
      <w:r w:rsidR="00532A4D" w:rsidRPr="002B6F86">
        <w:rPr>
          <w:sz w:val="24"/>
          <w:szCs w:val="24"/>
        </w:rPr>
        <w:t xml:space="preserve"> understand</w:t>
      </w:r>
      <w:r w:rsidR="00404964" w:rsidRPr="002B6F86">
        <w:rPr>
          <w:sz w:val="24"/>
          <w:szCs w:val="24"/>
        </w:rPr>
        <w:t>ing of</w:t>
      </w:r>
      <w:r w:rsidR="00532A4D" w:rsidRPr="002B6F86">
        <w:rPr>
          <w:sz w:val="24"/>
          <w:szCs w:val="24"/>
        </w:rPr>
        <w:t xml:space="preserve"> the determinants of long term health following critical illness </w:t>
      </w:r>
      <w:r w:rsidR="00FA5FC6" w:rsidRPr="002B6F86">
        <w:rPr>
          <w:sz w:val="24"/>
          <w:szCs w:val="24"/>
        </w:rPr>
        <w:t>could</w:t>
      </w:r>
      <w:r w:rsidR="00404964" w:rsidRPr="002B6F86">
        <w:rPr>
          <w:sz w:val="24"/>
          <w:szCs w:val="24"/>
        </w:rPr>
        <w:t xml:space="preserve"> improve the</w:t>
      </w:r>
      <w:r w:rsidR="00532A4D" w:rsidRPr="002B6F86">
        <w:rPr>
          <w:sz w:val="24"/>
          <w:szCs w:val="24"/>
        </w:rPr>
        <w:t xml:space="preserve"> evaluat</w:t>
      </w:r>
      <w:r w:rsidR="00404964" w:rsidRPr="002B6F86">
        <w:rPr>
          <w:sz w:val="24"/>
          <w:szCs w:val="24"/>
        </w:rPr>
        <w:t>ion</w:t>
      </w:r>
      <w:r w:rsidR="00532A4D" w:rsidRPr="002B6F86">
        <w:rPr>
          <w:sz w:val="24"/>
          <w:szCs w:val="24"/>
        </w:rPr>
        <w:t xml:space="preserve"> of interventions designed to improve recovery</w:t>
      </w:r>
      <w:r w:rsidR="00404964" w:rsidRPr="002B6F86">
        <w:rPr>
          <w:sz w:val="24"/>
          <w:szCs w:val="24"/>
        </w:rPr>
        <w:t xml:space="preserve">. The inclusion of </w:t>
      </w:r>
      <w:proofErr w:type="spellStart"/>
      <w:r w:rsidR="00404964" w:rsidRPr="002B6F86">
        <w:rPr>
          <w:sz w:val="24"/>
          <w:szCs w:val="24"/>
        </w:rPr>
        <w:t>HRQoL</w:t>
      </w:r>
      <w:proofErr w:type="spellEnd"/>
      <w:r w:rsidR="00404964" w:rsidRPr="002B6F86">
        <w:rPr>
          <w:sz w:val="24"/>
          <w:szCs w:val="24"/>
        </w:rPr>
        <w:t xml:space="preserve"> as </w:t>
      </w:r>
      <w:proofErr w:type="gramStart"/>
      <w:r w:rsidR="00404964" w:rsidRPr="002B6F86">
        <w:rPr>
          <w:sz w:val="24"/>
          <w:szCs w:val="24"/>
        </w:rPr>
        <w:t xml:space="preserve">a </w:t>
      </w:r>
      <w:r w:rsidR="00532A4D" w:rsidRPr="002B6F86">
        <w:rPr>
          <w:sz w:val="24"/>
          <w:szCs w:val="24"/>
        </w:rPr>
        <w:t xml:space="preserve"> core</w:t>
      </w:r>
      <w:proofErr w:type="gramEnd"/>
      <w:r w:rsidR="00532A4D" w:rsidRPr="002B6F86">
        <w:rPr>
          <w:sz w:val="24"/>
          <w:szCs w:val="24"/>
        </w:rPr>
        <w:t xml:space="preserve"> outcome</w:t>
      </w:r>
      <w:r w:rsidR="00404964" w:rsidRPr="002B6F86">
        <w:rPr>
          <w:sz w:val="24"/>
          <w:szCs w:val="24"/>
        </w:rPr>
        <w:t xml:space="preserve"> following critical illness</w:t>
      </w:r>
      <w:r w:rsidR="00532A4D" w:rsidRPr="002B6F86">
        <w:rPr>
          <w:sz w:val="24"/>
          <w:szCs w:val="24"/>
        </w:rPr>
        <w:t xml:space="preserve"> </w:t>
      </w:r>
      <w:r w:rsidR="00404964" w:rsidRPr="002B6F86">
        <w:rPr>
          <w:sz w:val="24"/>
          <w:szCs w:val="24"/>
        </w:rPr>
        <w:t>highlights the need for a detailed understanding of this and related outcome measures</w:t>
      </w:r>
      <w:r w:rsidR="00532A4D" w:rsidRPr="002B6F86">
        <w:rPr>
          <w:sz w:val="24"/>
          <w:szCs w:val="24"/>
        </w:rPr>
        <w:t>.</w:t>
      </w:r>
      <w:r w:rsidR="00685DCE">
        <w:rPr>
          <w:noProof/>
          <w:sz w:val="24"/>
          <w:szCs w:val="24"/>
        </w:rPr>
        <w:t>(14)</w:t>
      </w:r>
      <w:r w:rsidR="00532A4D" w:rsidRPr="002B6F86">
        <w:rPr>
          <w:sz w:val="24"/>
          <w:szCs w:val="24"/>
        </w:rPr>
        <w:t xml:space="preserve"> </w:t>
      </w:r>
    </w:p>
    <w:p w14:paraId="532A21DE" w14:textId="4065AD04" w:rsidR="00494A46" w:rsidRPr="002B6F86" w:rsidRDefault="00D1300E" w:rsidP="00B34E09">
      <w:pPr>
        <w:spacing w:line="480" w:lineRule="auto"/>
        <w:ind w:firstLine="720"/>
        <w:jc w:val="both"/>
        <w:rPr>
          <w:sz w:val="24"/>
          <w:szCs w:val="24"/>
        </w:rPr>
      </w:pPr>
      <w:r w:rsidRPr="002B6F86">
        <w:rPr>
          <w:sz w:val="24"/>
          <w:szCs w:val="24"/>
        </w:rPr>
        <w:t xml:space="preserve">In </w:t>
      </w:r>
      <w:r w:rsidR="00D36477" w:rsidRPr="002B6F86">
        <w:rPr>
          <w:sz w:val="24"/>
          <w:szCs w:val="24"/>
        </w:rPr>
        <w:t xml:space="preserve">a randomised trial of </w:t>
      </w:r>
      <w:r w:rsidR="00FC6FE4" w:rsidRPr="002B6F86">
        <w:rPr>
          <w:sz w:val="24"/>
          <w:szCs w:val="24"/>
        </w:rPr>
        <w:t xml:space="preserve">post-intensive care </w:t>
      </w:r>
      <w:r w:rsidR="00D36477" w:rsidRPr="002B6F86">
        <w:rPr>
          <w:sz w:val="24"/>
          <w:szCs w:val="24"/>
        </w:rPr>
        <w:t xml:space="preserve">hospital based </w:t>
      </w:r>
      <w:r w:rsidR="005C1857" w:rsidRPr="002B6F86">
        <w:rPr>
          <w:sz w:val="24"/>
          <w:szCs w:val="24"/>
        </w:rPr>
        <w:t>rehabilit</w:t>
      </w:r>
      <w:r w:rsidR="001741FA" w:rsidRPr="002B6F86">
        <w:rPr>
          <w:sz w:val="24"/>
          <w:szCs w:val="24"/>
        </w:rPr>
        <w:t>at</w:t>
      </w:r>
      <w:r w:rsidR="005C1857" w:rsidRPr="002B6F86">
        <w:rPr>
          <w:sz w:val="24"/>
          <w:szCs w:val="24"/>
        </w:rPr>
        <w:t xml:space="preserve">ion </w:t>
      </w:r>
      <w:r w:rsidRPr="002B6F86">
        <w:rPr>
          <w:sz w:val="24"/>
          <w:szCs w:val="24"/>
        </w:rPr>
        <w:t xml:space="preserve">we </w:t>
      </w:r>
      <w:r w:rsidR="00FA5FC6" w:rsidRPr="002B6F86">
        <w:rPr>
          <w:sz w:val="24"/>
          <w:szCs w:val="24"/>
        </w:rPr>
        <w:t xml:space="preserve">recently </w:t>
      </w:r>
      <w:r w:rsidR="005C1857" w:rsidRPr="002B6F86">
        <w:rPr>
          <w:sz w:val="24"/>
          <w:szCs w:val="24"/>
        </w:rPr>
        <w:t xml:space="preserve">found </w:t>
      </w:r>
      <w:r w:rsidR="00EB376F" w:rsidRPr="002B6F86">
        <w:rPr>
          <w:sz w:val="24"/>
          <w:szCs w:val="24"/>
        </w:rPr>
        <w:t xml:space="preserve">no effect on </w:t>
      </w:r>
      <w:r w:rsidR="00404964" w:rsidRPr="002B6F86">
        <w:rPr>
          <w:sz w:val="24"/>
          <w:szCs w:val="24"/>
        </w:rPr>
        <w:t xml:space="preserve">measures </w:t>
      </w:r>
      <w:r w:rsidR="00317C88" w:rsidRPr="002B6F86">
        <w:rPr>
          <w:sz w:val="24"/>
          <w:szCs w:val="24"/>
        </w:rPr>
        <w:t>on</w:t>
      </w:r>
      <w:r w:rsidR="00404964" w:rsidRPr="002B6F86">
        <w:rPr>
          <w:sz w:val="24"/>
          <w:szCs w:val="24"/>
        </w:rPr>
        <w:t xml:space="preserve"> </w:t>
      </w:r>
      <w:r w:rsidR="00EB376F" w:rsidRPr="002B6F86">
        <w:rPr>
          <w:sz w:val="24"/>
          <w:szCs w:val="24"/>
        </w:rPr>
        <w:t xml:space="preserve">functional status, </w:t>
      </w:r>
      <w:proofErr w:type="spellStart"/>
      <w:r w:rsidR="00404964" w:rsidRPr="002B6F86">
        <w:rPr>
          <w:sz w:val="24"/>
          <w:szCs w:val="24"/>
        </w:rPr>
        <w:t>HRQoL</w:t>
      </w:r>
      <w:proofErr w:type="spellEnd"/>
      <w:r w:rsidR="00EB376F" w:rsidRPr="002B6F86">
        <w:rPr>
          <w:sz w:val="24"/>
          <w:szCs w:val="24"/>
        </w:rPr>
        <w:t xml:space="preserve">, </w:t>
      </w:r>
      <w:r w:rsidR="00404964" w:rsidRPr="002B6F86">
        <w:rPr>
          <w:sz w:val="24"/>
          <w:szCs w:val="24"/>
        </w:rPr>
        <w:t>or</w:t>
      </w:r>
      <w:r w:rsidR="00EB376F" w:rsidRPr="002B6F86">
        <w:rPr>
          <w:sz w:val="24"/>
          <w:szCs w:val="24"/>
        </w:rPr>
        <w:t xml:space="preserve"> physical symptoms </w:t>
      </w:r>
      <w:r w:rsidR="005C1857" w:rsidRPr="002B6F86">
        <w:rPr>
          <w:sz w:val="24"/>
          <w:szCs w:val="24"/>
        </w:rPr>
        <w:t xml:space="preserve">during </w:t>
      </w:r>
      <w:r w:rsidRPr="002B6F86">
        <w:rPr>
          <w:sz w:val="24"/>
          <w:szCs w:val="24"/>
        </w:rPr>
        <w:t>1</w:t>
      </w:r>
      <w:r w:rsidR="005C1857" w:rsidRPr="002B6F86">
        <w:rPr>
          <w:sz w:val="24"/>
          <w:szCs w:val="24"/>
        </w:rPr>
        <w:t xml:space="preserve">2 </w:t>
      </w:r>
      <w:r w:rsidR="005C1857" w:rsidRPr="002B6F86">
        <w:rPr>
          <w:sz w:val="24"/>
          <w:szCs w:val="24"/>
        </w:rPr>
        <w:lastRenderedPageBreak/>
        <w:t>months follow</w:t>
      </w:r>
      <w:r w:rsidRPr="002B6F86">
        <w:rPr>
          <w:sz w:val="24"/>
          <w:szCs w:val="24"/>
        </w:rPr>
        <w:t>-</w:t>
      </w:r>
      <w:proofErr w:type="gramStart"/>
      <w:r w:rsidRPr="002B6F86">
        <w:rPr>
          <w:sz w:val="24"/>
          <w:szCs w:val="24"/>
        </w:rPr>
        <w:t>up</w:t>
      </w:r>
      <w:r w:rsidR="00405C6A" w:rsidRPr="002B6F86">
        <w:rPr>
          <w:sz w:val="24"/>
          <w:szCs w:val="24"/>
        </w:rPr>
        <w:t>.</w:t>
      </w:r>
      <w:r w:rsidR="00685DCE">
        <w:rPr>
          <w:noProof/>
          <w:sz w:val="24"/>
          <w:szCs w:val="24"/>
        </w:rPr>
        <w:t>(</w:t>
      </w:r>
      <w:proofErr w:type="gramEnd"/>
      <w:r w:rsidR="00685DCE">
        <w:rPr>
          <w:noProof/>
          <w:sz w:val="24"/>
          <w:szCs w:val="24"/>
        </w:rPr>
        <w:t>5)</w:t>
      </w:r>
      <w:r w:rsidR="00685DCE">
        <w:rPr>
          <w:rFonts w:eastAsia="Times New Roman"/>
          <w:noProof/>
          <w:sz w:val="24"/>
          <w:szCs w:val="24"/>
        </w:rPr>
        <w:t>(15)</w:t>
      </w:r>
      <w:r w:rsidR="00026E0B" w:rsidRPr="002B6F86">
        <w:rPr>
          <w:sz w:val="24"/>
          <w:szCs w:val="24"/>
        </w:rPr>
        <w:t xml:space="preserve">.  </w:t>
      </w:r>
      <w:r w:rsidR="001251CB" w:rsidRPr="002B6F86">
        <w:rPr>
          <w:sz w:val="24"/>
          <w:szCs w:val="24"/>
        </w:rPr>
        <w:t>W</w:t>
      </w:r>
      <w:r w:rsidR="00FC6FE4" w:rsidRPr="002B6F86">
        <w:rPr>
          <w:sz w:val="24"/>
          <w:szCs w:val="24"/>
        </w:rPr>
        <w:t>e hypothesised that th</w:t>
      </w:r>
      <w:r w:rsidR="00394AE6" w:rsidRPr="002B6F86">
        <w:rPr>
          <w:sz w:val="24"/>
          <w:szCs w:val="24"/>
        </w:rPr>
        <w:t>is</w:t>
      </w:r>
      <w:r w:rsidR="00FC6FE4" w:rsidRPr="002B6F86">
        <w:rPr>
          <w:sz w:val="24"/>
          <w:szCs w:val="24"/>
        </w:rPr>
        <w:t xml:space="preserve"> </w:t>
      </w:r>
      <w:r w:rsidRPr="002B6F86">
        <w:rPr>
          <w:sz w:val="24"/>
          <w:szCs w:val="24"/>
        </w:rPr>
        <w:t>lack</w:t>
      </w:r>
      <w:r w:rsidR="00FC6FE4" w:rsidRPr="002B6F86">
        <w:rPr>
          <w:sz w:val="24"/>
          <w:szCs w:val="24"/>
        </w:rPr>
        <w:t xml:space="preserve"> of effect </w:t>
      </w:r>
      <w:r w:rsidR="003869E2" w:rsidRPr="002B6F86">
        <w:rPr>
          <w:sz w:val="24"/>
          <w:szCs w:val="24"/>
        </w:rPr>
        <w:t xml:space="preserve">might </w:t>
      </w:r>
      <w:r w:rsidR="00EB376F" w:rsidRPr="002B6F86">
        <w:rPr>
          <w:sz w:val="24"/>
          <w:szCs w:val="24"/>
        </w:rPr>
        <w:t xml:space="preserve">relate </w:t>
      </w:r>
      <w:r w:rsidR="00FA5FC6" w:rsidRPr="002B6F86">
        <w:rPr>
          <w:sz w:val="24"/>
          <w:szCs w:val="24"/>
        </w:rPr>
        <w:t xml:space="preserve">in part </w:t>
      </w:r>
      <w:r w:rsidR="00EB376F" w:rsidRPr="002B6F86">
        <w:rPr>
          <w:sz w:val="24"/>
          <w:szCs w:val="24"/>
        </w:rPr>
        <w:t>to</w:t>
      </w:r>
      <w:r w:rsidR="00FC6FE4" w:rsidRPr="002B6F86">
        <w:rPr>
          <w:sz w:val="24"/>
          <w:szCs w:val="24"/>
        </w:rPr>
        <w:t xml:space="preserve"> pre-critical illness </w:t>
      </w:r>
      <w:proofErr w:type="gramStart"/>
      <w:r w:rsidR="00FC6FE4" w:rsidRPr="002B6F86">
        <w:rPr>
          <w:sz w:val="24"/>
          <w:szCs w:val="24"/>
        </w:rPr>
        <w:t>factors</w:t>
      </w:r>
      <w:r w:rsidR="00FA5FC6" w:rsidRPr="002B6F86">
        <w:rPr>
          <w:sz w:val="24"/>
          <w:szCs w:val="24"/>
        </w:rPr>
        <w:t>,</w:t>
      </w:r>
      <w:r w:rsidR="005D0C5A" w:rsidRPr="002B6F86">
        <w:rPr>
          <w:sz w:val="24"/>
          <w:szCs w:val="24"/>
        </w:rPr>
        <w:t xml:space="preserve"> </w:t>
      </w:r>
      <w:r w:rsidR="00FC6FE4" w:rsidRPr="002B6F86">
        <w:rPr>
          <w:sz w:val="24"/>
          <w:szCs w:val="24"/>
        </w:rPr>
        <w:t xml:space="preserve"> </w:t>
      </w:r>
      <w:r w:rsidR="005D0C5A" w:rsidRPr="002B6F86">
        <w:rPr>
          <w:sz w:val="24"/>
          <w:szCs w:val="24"/>
        </w:rPr>
        <w:t>a</w:t>
      </w:r>
      <w:proofErr w:type="gramEnd"/>
      <w:r w:rsidR="005D0C5A" w:rsidRPr="002B6F86">
        <w:rPr>
          <w:sz w:val="24"/>
          <w:szCs w:val="24"/>
        </w:rPr>
        <w:t xml:space="preserve"> ‘signal to noise’ issue, whereby the ‘noise’ of non-modifiable pre-existing health may have dominated any ‘signal’ of effect in the trial</w:t>
      </w:r>
      <w:r w:rsidR="00FC6FE4" w:rsidRPr="002B6F86">
        <w:rPr>
          <w:sz w:val="24"/>
          <w:szCs w:val="24"/>
        </w:rPr>
        <w:t>.</w:t>
      </w:r>
      <w:r w:rsidRPr="002B6F86">
        <w:rPr>
          <w:sz w:val="24"/>
          <w:szCs w:val="24"/>
        </w:rPr>
        <w:t xml:space="preserve"> </w:t>
      </w:r>
      <w:r w:rsidR="00EB376F" w:rsidRPr="002B6F86">
        <w:rPr>
          <w:sz w:val="24"/>
          <w:szCs w:val="24"/>
        </w:rPr>
        <w:t>Our</w:t>
      </w:r>
      <w:r w:rsidR="00723ABF" w:rsidRPr="002B6F86">
        <w:rPr>
          <w:sz w:val="24"/>
          <w:szCs w:val="24"/>
        </w:rPr>
        <w:t xml:space="preserve"> aim</w:t>
      </w:r>
      <w:r w:rsidR="005D0C5A" w:rsidRPr="002B6F86">
        <w:rPr>
          <w:sz w:val="24"/>
          <w:szCs w:val="24"/>
        </w:rPr>
        <w:t xml:space="preserve">s </w:t>
      </w:r>
      <w:r w:rsidR="00EB376F" w:rsidRPr="002B6F86">
        <w:rPr>
          <w:sz w:val="24"/>
          <w:szCs w:val="24"/>
        </w:rPr>
        <w:t xml:space="preserve">in this nested cohort study </w:t>
      </w:r>
      <w:r w:rsidR="00FA5FC6" w:rsidRPr="002B6F86">
        <w:rPr>
          <w:sz w:val="24"/>
          <w:szCs w:val="24"/>
        </w:rPr>
        <w:t xml:space="preserve">of the trial data </w:t>
      </w:r>
      <w:r w:rsidR="00EB376F" w:rsidRPr="002B6F86">
        <w:rPr>
          <w:sz w:val="24"/>
          <w:szCs w:val="24"/>
        </w:rPr>
        <w:t>were</w:t>
      </w:r>
      <w:r w:rsidR="00723ABF" w:rsidRPr="002B6F86">
        <w:rPr>
          <w:sz w:val="24"/>
          <w:szCs w:val="24"/>
        </w:rPr>
        <w:t xml:space="preserve"> to </w:t>
      </w:r>
      <w:r w:rsidR="00394AE6" w:rsidRPr="002B6F86">
        <w:rPr>
          <w:sz w:val="24"/>
          <w:szCs w:val="24"/>
        </w:rPr>
        <w:t>describe</w:t>
      </w:r>
      <w:r w:rsidR="009C4683" w:rsidRPr="002B6F86">
        <w:rPr>
          <w:color w:val="000000" w:themeColor="text1"/>
          <w:sz w:val="24"/>
          <w:szCs w:val="24"/>
        </w:rPr>
        <w:t xml:space="preserve"> trajectories of </w:t>
      </w:r>
      <w:proofErr w:type="spellStart"/>
      <w:r w:rsidR="00AC021C" w:rsidRPr="002B6F86">
        <w:rPr>
          <w:color w:val="000000" w:themeColor="text1"/>
          <w:sz w:val="24"/>
          <w:szCs w:val="24"/>
        </w:rPr>
        <w:t>HRQoL</w:t>
      </w:r>
      <w:proofErr w:type="spellEnd"/>
      <w:r w:rsidR="009C4683" w:rsidRPr="002B6F86">
        <w:rPr>
          <w:color w:val="000000" w:themeColor="text1"/>
          <w:sz w:val="24"/>
          <w:szCs w:val="24"/>
        </w:rPr>
        <w:t xml:space="preserve"> </w:t>
      </w:r>
      <w:r w:rsidR="00807733" w:rsidRPr="002B6F86">
        <w:rPr>
          <w:color w:val="000000" w:themeColor="text1"/>
          <w:sz w:val="24"/>
          <w:szCs w:val="24"/>
        </w:rPr>
        <w:t xml:space="preserve">over </w:t>
      </w:r>
      <w:r w:rsidR="009C4683" w:rsidRPr="002B6F86">
        <w:rPr>
          <w:color w:val="000000" w:themeColor="text1"/>
          <w:sz w:val="24"/>
          <w:szCs w:val="24"/>
        </w:rPr>
        <w:t>12 months followi</w:t>
      </w:r>
      <w:r w:rsidR="00723ABF" w:rsidRPr="002B6F86">
        <w:rPr>
          <w:color w:val="000000" w:themeColor="text1"/>
          <w:sz w:val="24"/>
          <w:szCs w:val="24"/>
        </w:rPr>
        <w:t>ng ICU discharge</w:t>
      </w:r>
      <w:r w:rsidR="00C32ED3" w:rsidRPr="002B6F86">
        <w:rPr>
          <w:color w:val="000000" w:themeColor="text1"/>
          <w:sz w:val="24"/>
          <w:szCs w:val="24"/>
        </w:rPr>
        <w:t xml:space="preserve">; to identify patients whose </w:t>
      </w:r>
      <w:proofErr w:type="spellStart"/>
      <w:r w:rsidR="00C32ED3" w:rsidRPr="002B6F86">
        <w:rPr>
          <w:color w:val="000000" w:themeColor="text1"/>
          <w:sz w:val="24"/>
          <w:szCs w:val="24"/>
        </w:rPr>
        <w:t>HRQoL</w:t>
      </w:r>
      <w:proofErr w:type="spellEnd"/>
      <w:r w:rsidR="00C32ED3" w:rsidRPr="002B6F86">
        <w:rPr>
          <w:color w:val="000000" w:themeColor="text1"/>
          <w:sz w:val="24"/>
          <w:szCs w:val="24"/>
        </w:rPr>
        <w:t xml:space="preserve"> either deteriorated or failed to improve between 3 months and 12 months ICU discharge</w:t>
      </w:r>
      <w:r w:rsidR="00723ABF" w:rsidRPr="002B6F86">
        <w:rPr>
          <w:color w:val="000000" w:themeColor="text1"/>
          <w:sz w:val="24"/>
          <w:szCs w:val="24"/>
        </w:rPr>
        <w:t>;</w:t>
      </w:r>
      <w:r w:rsidR="00956D57" w:rsidRPr="002B6F86">
        <w:rPr>
          <w:color w:val="000000" w:themeColor="text1"/>
          <w:sz w:val="24"/>
          <w:szCs w:val="24"/>
        </w:rPr>
        <w:t xml:space="preserve"> </w:t>
      </w:r>
      <w:r w:rsidR="0067448B" w:rsidRPr="002B6F86">
        <w:rPr>
          <w:color w:val="000000" w:themeColor="text1"/>
          <w:sz w:val="24"/>
          <w:szCs w:val="24"/>
        </w:rPr>
        <w:t xml:space="preserve"> </w:t>
      </w:r>
      <w:r w:rsidR="00F44D92" w:rsidRPr="002B6F86">
        <w:rPr>
          <w:color w:val="000000" w:themeColor="text1"/>
          <w:sz w:val="24"/>
          <w:szCs w:val="24"/>
        </w:rPr>
        <w:t>to</w:t>
      </w:r>
      <w:r w:rsidR="00F50868" w:rsidRPr="002B6F86">
        <w:rPr>
          <w:color w:val="000000" w:themeColor="text1"/>
          <w:sz w:val="24"/>
          <w:szCs w:val="24"/>
        </w:rPr>
        <w:t xml:space="preserve"> explore</w:t>
      </w:r>
      <w:r w:rsidR="00600A03" w:rsidRPr="002B6F86">
        <w:rPr>
          <w:color w:val="000000" w:themeColor="text1"/>
          <w:sz w:val="24"/>
          <w:szCs w:val="24"/>
        </w:rPr>
        <w:t xml:space="preserve"> the relative importance of patient demographics, </w:t>
      </w:r>
      <w:r w:rsidR="00F50868" w:rsidRPr="002B6F86">
        <w:rPr>
          <w:color w:val="000000" w:themeColor="text1"/>
          <w:sz w:val="24"/>
          <w:szCs w:val="24"/>
        </w:rPr>
        <w:t xml:space="preserve">pre-critical illness </w:t>
      </w:r>
      <w:r w:rsidR="00600A03" w:rsidRPr="002B6F86">
        <w:rPr>
          <w:color w:val="000000" w:themeColor="text1"/>
          <w:sz w:val="24"/>
          <w:szCs w:val="24"/>
        </w:rPr>
        <w:t xml:space="preserve">health status, and </w:t>
      </w:r>
      <w:r w:rsidR="00807733" w:rsidRPr="002B6F86">
        <w:rPr>
          <w:color w:val="000000" w:themeColor="text1"/>
          <w:sz w:val="24"/>
          <w:szCs w:val="24"/>
        </w:rPr>
        <w:t>critical illness severity</w:t>
      </w:r>
      <w:r w:rsidR="00600A03" w:rsidRPr="002B6F86">
        <w:rPr>
          <w:color w:val="000000" w:themeColor="text1"/>
          <w:sz w:val="24"/>
          <w:szCs w:val="24"/>
        </w:rPr>
        <w:t xml:space="preserve"> as determinants of </w:t>
      </w:r>
      <w:r w:rsidR="00394AE6" w:rsidRPr="002B6F86">
        <w:rPr>
          <w:color w:val="000000" w:themeColor="text1"/>
          <w:sz w:val="24"/>
          <w:szCs w:val="24"/>
        </w:rPr>
        <w:t xml:space="preserve">individual </w:t>
      </w:r>
      <w:proofErr w:type="spellStart"/>
      <w:r w:rsidR="00F92EFA" w:rsidRPr="002B6F86">
        <w:rPr>
          <w:color w:val="000000" w:themeColor="text1"/>
          <w:sz w:val="24"/>
          <w:szCs w:val="24"/>
        </w:rPr>
        <w:t>HRQoL</w:t>
      </w:r>
      <w:proofErr w:type="spellEnd"/>
      <w:r w:rsidR="00394AE6" w:rsidRPr="002B6F86">
        <w:rPr>
          <w:color w:val="000000" w:themeColor="text1"/>
          <w:sz w:val="24"/>
          <w:szCs w:val="24"/>
        </w:rPr>
        <w:t xml:space="preserve"> trajectory</w:t>
      </w:r>
      <w:r w:rsidR="00600A03" w:rsidRPr="002B6F86">
        <w:rPr>
          <w:color w:val="000000" w:themeColor="text1"/>
          <w:sz w:val="24"/>
          <w:szCs w:val="24"/>
        </w:rPr>
        <w:t xml:space="preserve"> </w:t>
      </w:r>
      <w:r w:rsidR="00BC6E07" w:rsidRPr="002B6F86">
        <w:rPr>
          <w:color w:val="000000" w:themeColor="text1"/>
          <w:sz w:val="24"/>
          <w:szCs w:val="24"/>
        </w:rPr>
        <w:t>after</w:t>
      </w:r>
      <w:r w:rsidR="00600A03" w:rsidRPr="002B6F86">
        <w:rPr>
          <w:color w:val="000000" w:themeColor="text1"/>
          <w:sz w:val="24"/>
          <w:szCs w:val="24"/>
        </w:rPr>
        <w:t xml:space="preserve"> ICU discharge</w:t>
      </w:r>
      <w:r w:rsidR="00394AE6" w:rsidRPr="002B6F86">
        <w:rPr>
          <w:color w:val="000000" w:themeColor="text1"/>
          <w:sz w:val="24"/>
          <w:szCs w:val="24"/>
        </w:rPr>
        <w:t>;</w:t>
      </w:r>
      <w:r w:rsidR="00AD3FBF" w:rsidRPr="002B6F86">
        <w:rPr>
          <w:color w:val="000000" w:themeColor="text1"/>
          <w:sz w:val="24"/>
          <w:szCs w:val="24"/>
        </w:rPr>
        <w:t xml:space="preserve"> and</w:t>
      </w:r>
      <w:r w:rsidR="00394AE6" w:rsidRPr="002B6F86">
        <w:rPr>
          <w:color w:val="000000" w:themeColor="text1"/>
          <w:sz w:val="24"/>
          <w:szCs w:val="24"/>
        </w:rPr>
        <w:t>,</w:t>
      </w:r>
      <w:r w:rsidR="00AD3FBF" w:rsidRPr="002B6F86">
        <w:rPr>
          <w:color w:val="000000" w:themeColor="text1"/>
          <w:sz w:val="24"/>
          <w:szCs w:val="24"/>
        </w:rPr>
        <w:t xml:space="preserve"> to </w:t>
      </w:r>
      <w:r w:rsidR="00CE006F" w:rsidRPr="002B6F86">
        <w:rPr>
          <w:color w:val="000000" w:themeColor="text1"/>
          <w:sz w:val="24"/>
          <w:szCs w:val="24"/>
        </w:rPr>
        <w:t xml:space="preserve">assess the consistency of associations in other patient centred outcomes we </w:t>
      </w:r>
      <w:r w:rsidR="00FA5FC6" w:rsidRPr="002B6F86">
        <w:rPr>
          <w:color w:val="000000" w:themeColor="text1"/>
          <w:sz w:val="24"/>
          <w:szCs w:val="24"/>
        </w:rPr>
        <w:t>collected in the trial</w:t>
      </w:r>
      <w:r w:rsidR="003B6481" w:rsidRPr="002B6F86">
        <w:rPr>
          <w:color w:val="000000" w:themeColor="text1"/>
          <w:sz w:val="24"/>
          <w:szCs w:val="24"/>
        </w:rPr>
        <w:t xml:space="preserve">.  </w:t>
      </w:r>
      <w:r w:rsidR="006E0959" w:rsidRPr="002B6F86">
        <w:rPr>
          <w:color w:val="000000" w:themeColor="text1"/>
          <w:sz w:val="24"/>
          <w:szCs w:val="24"/>
        </w:rPr>
        <w:t xml:space="preserve"> </w:t>
      </w:r>
    </w:p>
    <w:p w14:paraId="5E36551F" w14:textId="77777777" w:rsidR="00D64809" w:rsidRPr="002B6F86" w:rsidRDefault="00D64809">
      <w:pPr>
        <w:spacing w:after="0" w:line="480" w:lineRule="auto"/>
        <w:rPr>
          <w:b/>
          <w:sz w:val="24"/>
          <w:szCs w:val="24"/>
        </w:rPr>
      </w:pPr>
      <w:r w:rsidRPr="002B6F86">
        <w:rPr>
          <w:b/>
          <w:sz w:val="24"/>
          <w:szCs w:val="24"/>
        </w:rPr>
        <w:br w:type="page"/>
      </w:r>
    </w:p>
    <w:p w14:paraId="2911D961" w14:textId="17AB397D" w:rsidR="009C7AF6" w:rsidRPr="002B6F86" w:rsidRDefault="006F1F44">
      <w:pPr>
        <w:spacing w:line="480" w:lineRule="auto"/>
        <w:jc w:val="both"/>
        <w:outlineLvl w:val="0"/>
        <w:rPr>
          <w:b/>
          <w:sz w:val="24"/>
          <w:szCs w:val="24"/>
        </w:rPr>
      </w:pPr>
      <w:r>
        <w:rPr>
          <w:b/>
          <w:sz w:val="24"/>
          <w:szCs w:val="24"/>
        </w:rPr>
        <w:lastRenderedPageBreak/>
        <w:t>MATERIALS AND METHODS</w:t>
      </w:r>
    </w:p>
    <w:p w14:paraId="4AC3B5C0" w14:textId="699D5518" w:rsidR="009C7AF6" w:rsidRPr="002B6F86" w:rsidRDefault="00FA5FC6" w:rsidP="00B34E09">
      <w:pPr>
        <w:spacing w:line="480" w:lineRule="auto"/>
        <w:ind w:firstLine="720"/>
        <w:jc w:val="both"/>
        <w:rPr>
          <w:sz w:val="24"/>
          <w:szCs w:val="24"/>
        </w:rPr>
      </w:pPr>
      <w:r w:rsidRPr="002B6F86">
        <w:rPr>
          <w:sz w:val="24"/>
          <w:szCs w:val="24"/>
        </w:rPr>
        <w:t>This was a c</w:t>
      </w:r>
      <w:r w:rsidR="005D5F03" w:rsidRPr="002B6F86">
        <w:rPr>
          <w:sz w:val="24"/>
          <w:szCs w:val="24"/>
        </w:rPr>
        <w:t xml:space="preserve">ohort study nested </w:t>
      </w:r>
      <w:r w:rsidRPr="002B6F86">
        <w:rPr>
          <w:sz w:val="24"/>
          <w:szCs w:val="24"/>
        </w:rPr>
        <w:t>with</w:t>
      </w:r>
      <w:r w:rsidR="005D5F03" w:rsidRPr="002B6F86">
        <w:rPr>
          <w:sz w:val="24"/>
          <w:szCs w:val="24"/>
        </w:rPr>
        <w:t>in</w:t>
      </w:r>
      <w:r w:rsidR="009C7AF6" w:rsidRPr="002B6F86">
        <w:rPr>
          <w:sz w:val="24"/>
          <w:szCs w:val="24"/>
        </w:rPr>
        <w:t xml:space="preserve"> a </w:t>
      </w:r>
      <w:r w:rsidR="00FF4370" w:rsidRPr="002B6F86">
        <w:rPr>
          <w:sz w:val="24"/>
          <w:szCs w:val="24"/>
        </w:rPr>
        <w:t xml:space="preserve">randomised </w:t>
      </w:r>
      <w:r w:rsidR="009C7AF6" w:rsidRPr="002B6F86">
        <w:rPr>
          <w:sz w:val="24"/>
          <w:szCs w:val="24"/>
        </w:rPr>
        <w:t xml:space="preserve">trial of increased hospital-based physical rehabilitation and information provision </w:t>
      </w:r>
      <w:r w:rsidR="000F37F2" w:rsidRPr="002B6F86">
        <w:rPr>
          <w:sz w:val="24"/>
          <w:szCs w:val="24"/>
        </w:rPr>
        <w:t>for ICU survivors</w:t>
      </w:r>
      <w:r w:rsidR="00A66B90" w:rsidRPr="002B6F86">
        <w:rPr>
          <w:sz w:val="24"/>
          <w:szCs w:val="24"/>
        </w:rPr>
        <w:t xml:space="preserve"> who required ≥48 hours of continuous mechanical ventilation</w:t>
      </w:r>
      <w:r w:rsidR="003964B9">
        <w:rPr>
          <w:sz w:val="24"/>
          <w:szCs w:val="24"/>
        </w:rPr>
        <w:t xml:space="preserve"> (MV)</w:t>
      </w:r>
      <w:r w:rsidR="009C7AF6" w:rsidRPr="002B6F86">
        <w:rPr>
          <w:sz w:val="24"/>
          <w:szCs w:val="24"/>
        </w:rPr>
        <w:t>.</w:t>
      </w:r>
      <w:r w:rsidR="00542AB7" w:rsidRPr="002B6F86" w:rsidDel="00E83FF3">
        <w:rPr>
          <w:sz w:val="24"/>
          <w:szCs w:val="24"/>
        </w:rPr>
        <w:t xml:space="preserve"> </w:t>
      </w:r>
      <w:r w:rsidR="00001708" w:rsidRPr="002B6F86">
        <w:rPr>
          <w:sz w:val="24"/>
          <w:szCs w:val="24"/>
        </w:rPr>
        <w:t xml:space="preserve"> </w:t>
      </w:r>
      <w:r w:rsidR="005D5F03" w:rsidRPr="002B6F86">
        <w:rPr>
          <w:sz w:val="24"/>
          <w:szCs w:val="24"/>
        </w:rPr>
        <w:t>Detailed trial i</w:t>
      </w:r>
      <w:r w:rsidR="009C7AF6" w:rsidRPr="002B6F86">
        <w:rPr>
          <w:sz w:val="24"/>
          <w:szCs w:val="24"/>
        </w:rPr>
        <w:t>nclusion</w:t>
      </w:r>
      <w:r w:rsidR="00A66B90" w:rsidRPr="002B6F86">
        <w:rPr>
          <w:sz w:val="24"/>
          <w:szCs w:val="24"/>
        </w:rPr>
        <w:t>/exclusion</w:t>
      </w:r>
      <w:r w:rsidR="009C7AF6" w:rsidRPr="002B6F86">
        <w:rPr>
          <w:sz w:val="24"/>
          <w:szCs w:val="24"/>
        </w:rPr>
        <w:t xml:space="preserve"> </w:t>
      </w:r>
      <w:r w:rsidR="000F37F2" w:rsidRPr="002B6F86">
        <w:rPr>
          <w:sz w:val="24"/>
          <w:szCs w:val="24"/>
        </w:rPr>
        <w:t xml:space="preserve">criteria </w:t>
      </w:r>
      <w:r w:rsidR="00A66B90" w:rsidRPr="002B6F86">
        <w:rPr>
          <w:sz w:val="24"/>
          <w:szCs w:val="24"/>
        </w:rPr>
        <w:t>have been published</w:t>
      </w:r>
      <w:r w:rsidRPr="002B6F86">
        <w:rPr>
          <w:sz w:val="24"/>
          <w:szCs w:val="24"/>
        </w:rPr>
        <w:t xml:space="preserve"> </w:t>
      </w:r>
      <w:proofErr w:type="gramStart"/>
      <w:r w:rsidRPr="002B6F86">
        <w:rPr>
          <w:sz w:val="24"/>
          <w:szCs w:val="24"/>
        </w:rPr>
        <w:t>previously</w:t>
      </w:r>
      <w:r w:rsidR="00BA467D" w:rsidRPr="002B6F86">
        <w:rPr>
          <w:sz w:val="24"/>
          <w:szCs w:val="24"/>
        </w:rPr>
        <w:t>.</w:t>
      </w:r>
      <w:r w:rsidR="00685DCE">
        <w:rPr>
          <w:noProof/>
          <w:sz w:val="24"/>
          <w:szCs w:val="24"/>
        </w:rPr>
        <w:t>(</w:t>
      </w:r>
      <w:proofErr w:type="gramEnd"/>
      <w:r w:rsidR="00685DCE">
        <w:rPr>
          <w:noProof/>
          <w:sz w:val="24"/>
          <w:szCs w:val="24"/>
        </w:rPr>
        <w:t>16)</w:t>
      </w:r>
      <w:r w:rsidR="00336305" w:rsidRPr="002B6F86">
        <w:rPr>
          <w:sz w:val="24"/>
          <w:szCs w:val="24"/>
        </w:rPr>
        <w:t xml:space="preserve">  </w:t>
      </w:r>
      <w:r w:rsidR="009C7AF6" w:rsidRPr="002B6F86">
        <w:rPr>
          <w:sz w:val="24"/>
          <w:szCs w:val="24"/>
        </w:rPr>
        <w:t xml:space="preserve">Participants </w:t>
      </w:r>
      <w:r w:rsidR="00324149" w:rsidRPr="002B6F86">
        <w:rPr>
          <w:sz w:val="24"/>
          <w:szCs w:val="24"/>
        </w:rPr>
        <w:t>received</w:t>
      </w:r>
      <w:r w:rsidR="009C7AF6" w:rsidRPr="002B6F86">
        <w:rPr>
          <w:sz w:val="24"/>
          <w:szCs w:val="24"/>
        </w:rPr>
        <w:t xml:space="preserve"> either </w:t>
      </w:r>
      <w:r w:rsidR="000F37F2" w:rsidRPr="002B6F86">
        <w:rPr>
          <w:sz w:val="24"/>
          <w:szCs w:val="24"/>
        </w:rPr>
        <w:t>usual care</w:t>
      </w:r>
      <w:r w:rsidR="009C7AF6" w:rsidRPr="002B6F86">
        <w:rPr>
          <w:sz w:val="24"/>
          <w:szCs w:val="24"/>
        </w:rPr>
        <w:t xml:space="preserve"> or </w:t>
      </w:r>
      <w:r w:rsidRPr="002B6F86">
        <w:rPr>
          <w:sz w:val="24"/>
          <w:szCs w:val="24"/>
        </w:rPr>
        <w:t xml:space="preserve">the </w:t>
      </w:r>
      <w:r w:rsidR="009C7AF6" w:rsidRPr="002B6F86">
        <w:rPr>
          <w:sz w:val="24"/>
          <w:szCs w:val="24"/>
        </w:rPr>
        <w:t>intervention</w:t>
      </w:r>
      <w:r w:rsidR="00B75BD3" w:rsidRPr="002B6F86">
        <w:rPr>
          <w:sz w:val="24"/>
          <w:szCs w:val="24"/>
        </w:rPr>
        <w:t xml:space="preserve">. </w:t>
      </w:r>
      <w:r w:rsidR="001D4027" w:rsidRPr="002B6F86">
        <w:rPr>
          <w:sz w:val="24"/>
          <w:szCs w:val="24"/>
        </w:rPr>
        <w:t xml:space="preserve">As no treatment effects for </w:t>
      </w:r>
      <w:proofErr w:type="spellStart"/>
      <w:r w:rsidR="001D4027" w:rsidRPr="002B6F86">
        <w:rPr>
          <w:sz w:val="24"/>
          <w:szCs w:val="24"/>
        </w:rPr>
        <w:t>HRQoL</w:t>
      </w:r>
      <w:proofErr w:type="spellEnd"/>
      <w:r w:rsidR="001D4027" w:rsidRPr="002B6F86">
        <w:rPr>
          <w:sz w:val="24"/>
          <w:szCs w:val="24"/>
        </w:rPr>
        <w:t xml:space="preserve"> or patient-reported symptoms were found, a</w:t>
      </w:r>
      <w:r w:rsidR="003A05C3" w:rsidRPr="002B6F86">
        <w:rPr>
          <w:sz w:val="24"/>
          <w:szCs w:val="24"/>
        </w:rPr>
        <w:t xml:space="preserve"> </w:t>
      </w:r>
      <w:r w:rsidR="00336305" w:rsidRPr="002B6F86">
        <w:rPr>
          <w:sz w:val="24"/>
          <w:szCs w:val="24"/>
        </w:rPr>
        <w:t xml:space="preserve">single </w:t>
      </w:r>
      <w:r w:rsidR="00324149" w:rsidRPr="002B6F86">
        <w:rPr>
          <w:sz w:val="24"/>
          <w:szCs w:val="24"/>
        </w:rPr>
        <w:t>cohort was constructed from the trial database</w:t>
      </w:r>
      <w:r w:rsidR="00336305" w:rsidRPr="002B6F86">
        <w:rPr>
          <w:sz w:val="24"/>
          <w:szCs w:val="24"/>
        </w:rPr>
        <w:t xml:space="preserve"> </w:t>
      </w:r>
      <w:r w:rsidR="001D4027" w:rsidRPr="002B6F86">
        <w:rPr>
          <w:sz w:val="24"/>
          <w:szCs w:val="24"/>
        </w:rPr>
        <w:t xml:space="preserve">to address the </w:t>
      </w:r>
      <w:r w:rsidR="00FA6B45" w:rsidRPr="002B6F86">
        <w:rPr>
          <w:sz w:val="24"/>
          <w:szCs w:val="24"/>
        </w:rPr>
        <w:t xml:space="preserve">following </w:t>
      </w:r>
      <w:r w:rsidR="001D4027" w:rsidRPr="002B6F86">
        <w:rPr>
          <w:sz w:val="24"/>
          <w:szCs w:val="24"/>
        </w:rPr>
        <w:t>research questions</w:t>
      </w:r>
      <w:r w:rsidR="00FA6B45" w:rsidRPr="002B6F86">
        <w:rPr>
          <w:sz w:val="24"/>
          <w:szCs w:val="24"/>
        </w:rPr>
        <w:t>:  What were the cohort level trajectories of PCS and MCS between 3 months an</w:t>
      </w:r>
      <w:r w:rsidR="004E005E" w:rsidRPr="002B6F86">
        <w:rPr>
          <w:sz w:val="24"/>
          <w:szCs w:val="24"/>
        </w:rPr>
        <w:t>d 12 months after ICU discharge?</w:t>
      </w:r>
      <w:r w:rsidR="00FA6B45" w:rsidRPr="002B6F86">
        <w:rPr>
          <w:sz w:val="24"/>
          <w:szCs w:val="24"/>
        </w:rPr>
        <w:t xml:space="preserve"> What proportions of patients showed no clinically important improvement of PCS </w:t>
      </w:r>
      <w:r w:rsidR="004E005E" w:rsidRPr="002B6F86">
        <w:rPr>
          <w:sz w:val="24"/>
          <w:szCs w:val="24"/>
        </w:rPr>
        <w:t>and MCS between 3 and 12 months?</w:t>
      </w:r>
      <w:r w:rsidR="00FA6B45" w:rsidRPr="002B6F86">
        <w:rPr>
          <w:sz w:val="24"/>
          <w:szCs w:val="24"/>
        </w:rPr>
        <w:t xml:space="preserve"> Which factors were most strongly associated with </w:t>
      </w:r>
      <w:proofErr w:type="spellStart"/>
      <w:r w:rsidR="00FA6B45" w:rsidRPr="002B6F86">
        <w:rPr>
          <w:sz w:val="24"/>
          <w:szCs w:val="24"/>
        </w:rPr>
        <w:t>HRQoL</w:t>
      </w:r>
      <w:proofErr w:type="spellEnd"/>
      <w:r w:rsidR="00FA6B45" w:rsidRPr="002B6F86">
        <w:rPr>
          <w:sz w:val="24"/>
          <w:szCs w:val="24"/>
        </w:rPr>
        <w:t xml:space="preserve"> at </w:t>
      </w:r>
      <w:proofErr w:type="gramStart"/>
      <w:r w:rsidR="00FA6B45" w:rsidRPr="002B6F86">
        <w:rPr>
          <w:sz w:val="24"/>
          <w:szCs w:val="24"/>
        </w:rPr>
        <w:t>6  and</w:t>
      </w:r>
      <w:proofErr w:type="gramEnd"/>
      <w:r w:rsidR="00FA6B45" w:rsidRPr="002B6F86">
        <w:rPr>
          <w:sz w:val="24"/>
          <w:szCs w:val="24"/>
        </w:rPr>
        <w:t xml:space="preserve"> 12 month post-ICU discharge</w:t>
      </w:r>
      <w:r w:rsidR="004E005E" w:rsidRPr="002B6F86">
        <w:rPr>
          <w:sz w:val="24"/>
          <w:szCs w:val="24"/>
        </w:rPr>
        <w:t>?</w:t>
      </w:r>
      <w:r w:rsidR="00FA6B45" w:rsidRPr="002B6F86">
        <w:rPr>
          <w:sz w:val="24"/>
          <w:szCs w:val="24"/>
        </w:rPr>
        <w:t xml:space="preserve"> Which factors were most strongly associated with patient-reported symptoms </w:t>
      </w:r>
      <w:r w:rsidR="00317C88" w:rsidRPr="002B6F86">
        <w:rPr>
          <w:sz w:val="24"/>
          <w:szCs w:val="24"/>
        </w:rPr>
        <w:t xml:space="preserve">at 12 </w:t>
      </w:r>
      <w:proofErr w:type="gramStart"/>
      <w:r w:rsidR="00317C88" w:rsidRPr="002B6F86">
        <w:rPr>
          <w:sz w:val="24"/>
          <w:szCs w:val="24"/>
        </w:rPr>
        <w:t>months</w:t>
      </w:r>
      <w:proofErr w:type="gramEnd"/>
      <w:r w:rsidR="00317C88" w:rsidRPr="002B6F86">
        <w:rPr>
          <w:sz w:val="24"/>
          <w:szCs w:val="24"/>
        </w:rPr>
        <w:t xml:space="preserve"> post ICU discharge?</w:t>
      </w:r>
      <w:r w:rsidR="00FC643A" w:rsidRPr="002B6F86">
        <w:rPr>
          <w:sz w:val="24"/>
          <w:szCs w:val="24"/>
        </w:rPr>
        <w:t xml:space="preserve">  This study was approved by the Scotland </w:t>
      </w:r>
      <w:proofErr w:type="gramStart"/>
      <w:r w:rsidR="00FC643A" w:rsidRPr="002B6F86">
        <w:rPr>
          <w:sz w:val="24"/>
          <w:szCs w:val="24"/>
        </w:rPr>
        <w:t>A</w:t>
      </w:r>
      <w:proofErr w:type="gramEnd"/>
      <w:r w:rsidR="00FC643A" w:rsidRPr="002B6F86">
        <w:rPr>
          <w:sz w:val="24"/>
          <w:szCs w:val="24"/>
        </w:rPr>
        <w:t xml:space="preserve"> Research Ethics committee. Participants or their surrogate decision makers provided written informed consent.</w:t>
      </w:r>
    </w:p>
    <w:p w14:paraId="164EB355" w14:textId="77777777" w:rsidR="009C7AF6" w:rsidRPr="00B34E09" w:rsidRDefault="009C7AF6">
      <w:pPr>
        <w:spacing w:line="480" w:lineRule="auto"/>
        <w:jc w:val="both"/>
        <w:outlineLvl w:val="0"/>
        <w:rPr>
          <w:i/>
          <w:sz w:val="24"/>
          <w:szCs w:val="24"/>
        </w:rPr>
      </w:pPr>
      <w:r w:rsidRPr="00B34E09">
        <w:rPr>
          <w:i/>
          <w:sz w:val="24"/>
          <w:szCs w:val="24"/>
        </w:rPr>
        <w:t xml:space="preserve">Outcome measures </w:t>
      </w:r>
    </w:p>
    <w:p w14:paraId="1AE35A2D" w14:textId="468DC762" w:rsidR="001D4027" w:rsidRPr="002B6F86" w:rsidRDefault="007950D2" w:rsidP="00B34E09">
      <w:pPr>
        <w:spacing w:line="480" w:lineRule="auto"/>
        <w:ind w:firstLine="720"/>
        <w:jc w:val="both"/>
        <w:rPr>
          <w:sz w:val="24"/>
          <w:szCs w:val="24"/>
        </w:rPr>
      </w:pPr>
      <w:r w:rsidRPr="002B6F86">
        <w:rPr>
          <w:sz w:val="24"/>
          <w:szCs w:val="24"/>
        </w:rPr>
        <w:t>For</w:t>
      </w:r>
      <w:r w:rsidR="001D4027" w:rsidRPr="002B6F86">
        <w:rPr>
          <w:sz w:val="24"/>
          <w:szCs w:val="24"/>
        </w:rPr>
        <w:t xml:space="preserve"> </w:t>
      </w:r>
      <w:proofErr w:type="spellStart"/>
      <w:r w:rsidR="001D4027" w:rsidRPr="002B6F86">
        <w:rPr>
          <w:sz w:val="24"/>
          <w:szCs w:val="24"/>
        </w:rPr>
        <w:t>HRQoL</w:t>
      </w:r>
      <w:proofErr w:type="spellEnd"/>
      <w:r w:rsidR="001D4027" w:rsidRPr="002B6F86">
        <w:rPr>
          <w:sz w:val="24"/>
          <w:szCs w:val="24"/>
        </w:rPr>
        <w:t>, the M</w:t>
      </w:r>
      <w:r w:rsidR="006F773C" w:rsidRPr="002B6F86">
        <w:rPr>
          <w:sz w:val="24"/>
          <w:szCs w:val="24"/>
        </w:rPr>
        <w:t>edical Outcomes Study Short Form 12 version 2 (</w:t>
      </w:r>
      <w:r w:rsidR="007C5D8D" w:rsidRPr="002B6F86">
        <w:rPr>
          <w:sz w:val="24"/>
          <w:szCs w:val="24"/>
        </w:rPr>
        <w:t>SF12v2</w:t>
      </w:r>
      <w:r w:rsidR="006F773C" w:rsidRPr="002B6F86">
        <w:rPr>
          <w:sz w:val="24"/>
          <w:szCs w:val="24"/>
        </w:rPr>
        <w:t>)</w:t>
      </w:r>
      <w:r w:rsidR="005F74EE" w:rsidRPr="002B6F86">
        <w:rPr>
          <w:sz w:val="24"/>
          <w:szCs w:val="24"/>
        </w:rPr>
        <w:t xml:space="preserve">, including the </w:t>
      </w:r>
      <w:r w:rsidR="00080BC7" w:rsidRPr="002B6F86">
        <w:rPr>
          <w:sz w:val="24"/>
          <w:szCs w:val="24"/>
        </w:rPr>
        <w:t>P</w:t>
      </w:r>
      <w:r w:rsidR="005F74EE" w:rsidRPr="002B6F86">
        <w:rPr>
          <w:sz w:val="24"/>
          <w:szCs w:val="24"/>
        </w:rPr>
        <w:t>hysical Co</w:t>
      </w:r>
      <w:r w:rsidR="008157E4" w:rsidRPr="002B6F86">
        <w:rPr>
          <w:sz w:val="24"/>
          <w:szCs w:val="24"/>
        </w:rPr>
        <w:t>mponent Score (PCS; range 0-100)</w:t>
      </w:r>
      <w:r w:rsidR="005F74EE" w:rsidRPr="002B6F86">
        <w:rPr>
          <w:sz w:val="24"/>
          <w:szCs w:val="24"/>
        </w:rPr>
        <w:t xml:space="preserve"> and </w:t>
      </w:r>
      <w:r w:rsidR="00080BC7" w:rsidRPr="002B6F86">
        <w:rPr>
          <w:sz w:val="24"/>
          <w:szCs w:val="24"/>
        </w:rPr>
        <w:t>M</w:t>
      </w:r>
      <w:r w:rsidR="005F74EE" w:rsidRPr="002B6F86">
        <w:rPr>
          <w:sz w:val="24"/>
          <w:szCs w:val="24"/>
        </w:rPr>
        <w:t xml:space="preserve">ental </w:t>
      </w:r>
      <w:r w:rsidR="00080BC7" w:rsidRPr="002B6F86">
        <w:rPr>
          <w:sz w:val="24"/>
          <w:szCs w:val="24"/>
        </w:rPr>
        <w:t>C</w:t>
      </w:r>
      <w:r w:rsidR="005F74EE" w:rsidRPr="002B6F86">
        <w:rPr>
          <w:sz w:val="24"/>
          <w:szCs w:val="24"/>
        </w:rPr>
        <w:t xml:space="preserve">omponent </w:t>
      </w:r>
      <w:r w:rsidR="00080BC7" w:rsidRPr="002B6F86">
        <w:rPr>
          <w:sz w:val="24"/>
          <w:szCs w:val="24"/>
        </w:rPr>
        <w:t>S</w:t>
      </w:r>
      <w:r w:rsidR="00F92EFA" w:rsidRPr="002B6F86">
        <w:rPr>
          <w:sz w:val="24"/>
          <w:szCs w:val="24"/>
        </w:rPr>
        <w:t>core (MCS; range 0-100)</w:t>
      </w:r>
      <w:r w:rsidR="001D4027" w:rsidRPr="002B6F86">
        <w:rPr>
          <w:sz w:val="24"/>
          <w:szCs w:val="24"/>
        </w:rPr>
        <w:t xml:space="preserve"> </w:t>
      </w:r>
      <w:r w:rsidR="00722EB5" w:rsidRPr="002B6F86">
        <w:rPr>
          <w:sz w:val="24"/>
          <w:szCs w:val="24"/>
        </w:rPr>
        <w:t>calculated using US-derived co-</w:t>
      </w:r>
      <w:proofErr w:type="spellStart"/>
      <w:proofErr w:type="gramStart"/>
      <w:r w:rsidR="00722EB5" w:rsidRPr="002B6F86">
        <w:rPr>
          <w:sz w:val="24"/>
          <w:szCs w:val="24"/>
        </w:rPr>
        <w:t>efficients</w:t>
      </w:r>
      <w:proofErr w:type="spellEnd"/>
      <w:r w:rsidR="004E005E" w:rsidRPr="002B6F86">
        <w:rPr>
          <w:sz w:val="24"/>
          <w:szCs w:val="24"/>
        </w:rPr>
        <w:t>.</w:t>
      </w:r>
      <w:r w:rsidR="00685DCE">
        <w:rPr>
          <w:noProof/>
          <w:sz w:val="24"/>
          <w:szCs w:val="24"/>
        </w:rPr>
        <w:t>(</w:t>
      </w:r>
      <w:proofErr w:type="gramEnd"/>
      <w:r w:rsidR="00685DCE">
        <w:rPr>
          <w:noProof/>
          <w:sz w:val="24"/>
          <w:szCs w:val="24"/>
        </w:rPr>
        <w:t>17)</w:t>
      </w:r>
      <w:r w:rsidR="0073319B" w:rsidRPr="002B6F86">
        <w:rPr>
          <w:sz w:val="24"/>
          <w:szCs w:val="24"/>
        </w:rPr>
        <w:t xml:space="preserve">  </w:t>
      </w:r>
      <w:r w:rsidR="00956D57" w:rsidRPr="002B6F86">
        <w:rPr>
          <w:sz w:val="24"/>
          <w:szCs w:val="24"/>
        </w:rPr>
        <w:t xml:space="preserve"> </w:t>
      </w:r>
      <w:r w:rsidR="007B3C79" w:rsidRPr="002B6F86">
        <w:rPr>
          <w:sz w:val="24"/>
          <w:szCs w:val="24"/>
        </w:rPr>
        <w:t>P</w:t>
      </w:r>
      <w:r w:rsidRPr="002B6F86">
        <w:rPr>
          <w:sz w:val="24"/>
          <w:szCs w:val="24"/>
        </w:rPr>
        <w:t>atient-reported physical symptoms of a</w:t>
      </w:r>
      <w:r w:rsidR="00881E5E" w:rsidRPr="002B6F86">
        <w:rPr>
          <w:sz w:val="24"/>
          <w:szCs w:val="24"/>
        </w:rPr>
        <w:t>ppetite, fatigue, pain, joi</w:t>
      </w:r>
      <w:r w:rsidR="005D5F03" w:rsidRPr="002B6F86">
        <w:rPr>
          <w:sz w:val="24"/>
          <w:szCs w:val="24"/>
        </w:rPr>
        <w:t>nt stiffness and breathlessness</w:t>
      </w:r>
      <w:r w:rsidR="00881E5E" w:rsidRPr="002B6F86">
        <w:rPr>
          <w:sz w:val="24"/>
          <w:szCs w:val="24"/>
        </w:rPr>
        <w:t xml:space="preserve"> were measured on a visual analogue scale of 10cm in length ranging from 0 (no symptoms at all) to 10 (worse symptoms imaginable).</w:t>
      </w:r>
      <w:r w:rsidRPr="002B6F86">
        <w:rPr>
          <w:sz w:val="24"/>
          <w:szCs w:val="24"/>
        </w:rPr>
        <w:t xml:space="preserve"> </w:t>
      </w:r>
      <w:r w:rsidR="001D4027" w:rsidRPr="002B6F86">
        <w:rPr>
          <w:sz w:val="24"/>
          <w:szCs w:val="24"/>
        </w:rPr>
        <w:t xml:space="preserve">As per the </w:t>
      </w:r>
      <w:r w:rsidR="00C74813" w:rsidRPr="002B6F86">
        <w:rPr>
          <w:sz w:val="24"/>
          <w:szCs w:val="24"/>
        </w:rPr>
        <w:t xml:space="preserve">trial </w:t>
      </w:r>
      <w:r w:rsidR="001D4027" w:rsidRPr="002B6F86">
        <w:rPr>
          <w:sz w:val="24"/>
          <w:szCs w:val="24"/>
        </w:rPr>
        <w:t xml:space="preserve">protocol, the trial aimed to measure these outcomes for all surviving patients at 3, 6, and 12 </w:t>
      </w:r>
      <w:proofErr w:type="gramStart"/>
      <w:r w:rsidR="001D4027" w:rsidRPr="002B6F86">
        <w:rPr>
          <w:sz w:val="24"/>
          <w:szCs w:val="24"/>
        </w:rPr>
        <w:t>months</w:t>
      </w:r>
      <w:proofErr w:type="gramEnd"/>
      <w:r w:rsidR="001D4027" w:rsidRPr="002B6F86">
        <w:rPr>
          <w:sz w:val="24"/>
          <w:szCs w:val="24"/>
        </w:rPr>
        <w:t xml:space="preserve"> post-randomisation.</w:t>
      </w:r>
    </w:p>
    <w:p w14:paraId="51FEB5BD" w14:textId="431F6AB2" w:rsidR="009C7AF6" w:rsidRPr="00B34E09" w:rsidRDefault="00F0061B">
      <w:pPr>
        <w:spacing w:line="480" w:lineRule="auto"/>
        <w:jc w:val="both"/>
        <w:outlineLvl w:val="0"/>
        <w:rPr>
          <w:i/>
          <w:sz w:val="24"/>
          <w:szCs w:val="24"/>
        </w:rPr>
      </w:pPr>
      <w:r w:rsidRPr="00B34E09">
        <w:rPr>
          <w:i/>
          <w:sz w:val="24"/>
          <w:szCs w:val="24"/>
        </w:rPr>
        <w:lastRenderedPageBreak/>
        <w:t>Exposures</w:t>
      </w:r>
    </w:p>
    <w:p w14:paraId="274D1624" w14:textId="59D07943" w:rsidR="001D4027" w:rsidRPr="00B34E09" w:rsidRDefault="001D4027" w:rsidP="00B34E09">
      <w:pPr>
        <w:spacing w:line="480" w:lineRule="auto"/>
        <w:ind w:firstLine="720"/>
        <w:jc w:val="both"/>
        <w:outlineLvl w:val="0"/>
        <w:rPr>
          <w:sz w:val="24"/>
          <w:szCs w:val="24"/>
        </w:rPr>
      </w:pPr>
      <w:r w:rsidRPr="00B34E09">
        <w:rPr>
          <w:sz w:val="24"/>
          <w:szCs w:val="24"/>
        </w:rPr>
        <w:t xml:space="preserve">We </w:t>
      </w:r>
      <w:r w:rsidR="00532CE8" w:rsidRPr="002B6F86">
        <w:rPr>
          <w:sz w:val="24"/>
          <w:szCs w:val="24"/>
        </w:rPr>
        <w:t>selected</w:t>
      </w:r>
      <w:r w:rsidRPr="002B6F86">
        <w:rPr>
          <w:sz w:val="24"/>
          <w:szCs w:val="24"/>
        </w:rPr>
        <w:t xml:space="preserve"> variables </w:t>
      </w:r>
      <w:r w:rsidR="00532CE8" w:rsidRPr="002B6F86">
        <w:rPr>
          <w:sz w:val="24"/>
          <w:szCs w:val="24"/>
        </w:rPr>
        <w:t>from</w:t>
      </w:r>
      <w:r w:rsidRPr="002B6F86">
        <w:rPr>
          <w:sz w:val="24"/>
          <w:szCs w:val="24"/>
        </w:rPr>
        <w:t xml:space="preserve"> the trial database to best represent demographics, pre-existing comorbidity burden, and critical illness severity and duration.</w:t>
      </w:r>
      <w:r w:rsidR="00F51709" w:rsidRPr="002B6F86">
        <w:rPr>
          <w:sz w:val="24"/>
          <w:szCs w:val="24"/>
        </w:rPr>
        <w:t xml:space="preserve"> The number of variables </w:t>
      </w:r>
      <w:r w:rsidR="00221BC5" w:rsidRPr="002B6F86">
        <w:rPr>
          <w:sz w:val="24"/>
          <w:szCs w:val="24"/>
        </w:rPr>
        <w:t xml:space="preserve">did not exceed recommended maximums to prevent </w:t>
      </w:r>
      <w:proofErr w:type="gramStart"/>
      <w:r w:rsidR="00221BC5" w:rsidRPr="002B6F86">
        <w:rPr>
          <w:sz w:val="24"/>
          <w:szCs w:val="24"/>
        </w:rPr>
        <w:t>overfitting.</w:t>
      </w:r>
      <w:r w:rsidR="00685DCE">
        <w:rPr>
          <w:noProof/>
          <w:sz w:val="24"/>
          <w:szCs w:val="24"/>
        </w:rPr>
        <w:t>(</w:t>
      </w:r>
      <w:proofErr w:type="gramEnd"/>
      <w:r w:rsidR="00685DCE">
        <w:rPr>
          <w:noProof/>
          <w:sz w:val="24"/>
          <w:szCs w:val="24"/>
        </w:rPr>
        <w:t>18)</w:t>
      </w:r>
    </w:p>
    <w:p w14:paraId="298C01E3" w14:textId="105E95D0" w:rsidR="00691641" w:rsidRPr="002B6F86" w:rsidRDefault="00230738" w:rsidP="00B34E09">
      <w:pPr>
        <w:spacing w:line="480" w:lineRule="auto"/>
        <w:ind w:firstLine="720"/>
        <w:jc w:val="both"/>
        <w:rPr>
          <w:sz w:val="24"/>
          <w:szCs w:val="24"/>
        </w:rPr>
      </w:pPr>
      <w:r w:rsidRPr="00B34E09">
        <w:rPr>
          <w:b/>
          <w:i/>
          <w:sz w:val="24"/>
          <w:szCs w:val="24"/>
        </w:rPr>
        <w:t>Patient characteristics</w:t>
      </w:r>
      <w:r w:rsidR="00691641" w:rsidRPr="00B34E09">
        <w:rPr>
          <w:b/>
          <w:i/>
          <w:sz w:val="24"/>
          <w:szCs w:val="24"/>
        </w:rPr>
        <w:t>:</w:t>
      </w:r>
      <w:r w:rsidR="00C7552C" w:rsidRPr="002B6F86">
        <w:rPr>
          <w:sz w:val="24"/>
          <w:szCs w:val="24"/>
        </w:rPr>
        <w:t xml:space="preserve"> </w:t>
      </w:r>
      <w:r w:rsidR="001D4027" w:rsidRPr="002B6F86">
        <w:rPr>
          <w:sz w:val="24"/>
          <w:szCs w:val="24"/>
        </w:rPr>
        <w:t xml:space="preserve">We </w:t>
      </w:r>
      <w:r w:rsidR="007B3C79" w:rsidRPr="002B6F86">
        <w:rPr>
          <w:sz w:val="24"/>
          <w:szCs w:val="24"/>
        </w:rPr>
        <w:t>used</w:t>
      </w:r>
      <w:r w:rsidR="001D4027" w:rsidRPr="002B6F86">
        <w:rPr>
          <w:sz w:val="24"/>
          <w:szCs w:val="24"/>
        </w:rPr>
        <w:t xml:space="preserve"> a</w:t>
      </w:r>
      <w:r w:rsidR="009C7AF6" w:rsidRPr="002B6F86">
        <w:rPr>
          <w:sz w:val="24"/>
          <w:szCs w:val="24"/>
        </w:rPr>
        <w:t xml:space="preserve">ge, </w:t>
      </w:r>
      <w:r w:rsidR="00741BA4" w:rsidRPr="002B6F86">
        <w:rPr>
          <w:sz w:val="24"/>
          <w:szCs w:val="24"/>
        </w:rPr>
        <w:t xml:space="preserve">gender, </w:t>
      </w:r>
      <w:r w:rsidR="001D4027" w:rsidRPr="002B6F86">
        <w:rPr>
          <w:sz w:val="24"/>
          <w:szCs w:val="24"/>
        </w:rPr>
        <w:t xml:space="preserve">and </w:t>
      </w:r>
      <w:r w:rsidR="0064660F" w:rsidRPr="002B6F86">
        <w:rPr>
          <w:sz w:val="24"/>
          <w:szCs w:val="24"/>
        </w:rPr>
        <w:t>social deprivation</w:t>
      </w:r>
      <w:r w:rsidR="001D4027" w:rsidRPr="002B6F86">
        <w:rPr>
          <w:sz w:val="24"/>
          <w:szCs w:val="24"/>
        </w:rPr>
        <w:t>. Social deprivation was measured using the</w:t>
      </w:r>
      <w:r w:rsidR="0064660F" w:rsidRPr="002B6F86">
        <w:rPr>
          <w:sz w:val="24"/>
          <w:szCs w:val="24"/>
        </w:rPr>
        <w:t xml:space="preserve"> Scottish</w:t>
      </w:r>
      <w:r w:rsidR="009C7AF6" w:rsidRPr="002B6F86">
        <w:rPr>
          <w:sz w:val="24"/>
          <w:szCs w:val="24"/>
        </w:rPr>
        <w:t xml:space="preserve"> Index of Multiple Deprivation </w:t>
      </w:r>
      <w:r w:rsidR="000E7DD3" w:rsidRPr="002B6F86">
        <w:rPr>
          <w:sz w:val="24"/>
          <w:szCs w:val="24"/>
        </w:rPr>
        <w:t>(SIMD</w:t>
      </w:r>
      <w:r w:rsidR="00A01FAB" w:rsidRPr="002B6F86">
        <w:rPr>
          <w:sz w:val="24"/>
          <w:szCs w:val="24"/>
        </w:rPr>
        <w:t>)</w:t>
      </w:r>
      <w:r w:rsidR="001D4027" w:rsidRPr="002B6F86">
        <w:rPr>
          <w:sz w:val="24"/>
          <w:szCs w:val="24"/>
        </w:rPr>
        <w:t xml:space="preserve">, </w:t>
      </w:r>
      <w:r w:rsidR="00532CE8" w:rsidRPr="002B6F86">
        <w:rPr>
          <w:sz w:val="24"/>
          <w:szCs w:val="24"/>
        </w:rPr>
        <w:t>a post-code</w:t>
      </w:r>
      <w:r w:rsidR="004D1318" w:rsidRPr="002B6F86">
        <w:rPr>
          <w:sz w:val="24"/>
          <w:szCs w:val="24"/>
        </w:rPr>
        <w:t xml:space="preserve"> </w:t>
      </w:r>
      <w:r w:rsidR="00C74813" w:rsidRPr="002B6F86">
        <w:rPr>
          <w:sz w:val="24"/>
          <w:szCs w:val="24"/>
        </w:rPr>
        <w:t xml:space="preserve">based </w:t>
      </w:r>
      <w:r w:rsidR="004D1318" w:rsidRPr="002B6F86">
        <w:rPr>
          <w:sz w:val="24"/>
          <w:szCs w:val="24"/>
        </w:rPr>
        <w:t>deprivation ranking of each of 6,976 geographical areas within Scotland</w:t>
      </w:r>
      <w:r w:rsidR="001D4027" w:rsidRPr="002B6F86">
        <w:rPr>
          <w:sz w:val="24"/>
          <w:szCs w:val="24"/>
        </w:rPr>
        <w:t xml:space="preserve">. These are described in </w:t>
      </w:r>
      <w:r w:rsidR="004D1318" w:rsidRPr="002B6F86">
        <w:rPr>
          <w:sz w:val="24"/>
          <w:szCs w:val="24"/>
        </w:rPr>
        <w:t>quintile</w:t>
      </w:r>
      <w:r w:rsidR="001D4027" w:rsidRPr="002B6F86">
        <w:rPr>
          <w:sz w:val="24"/>
          <w:szCs w:val="24"/>
        </w:rPr>
        <w:t>s ranging from</w:t>
      </w:r>
      <w:r w:rsidR="004D1318" w:rsidRPr="002B6F86">
        <w:rPr>
          <w:sz w:val="24"/>
          <w:szCs w:val="24"/>
        </w:rPr>
        <w:t xml:space="preserve"> 1 (most deprived) to 5 (least deprived</w:t>
      </w:r>
      <w:proofErr w:type="gramStart"/>
      <w:r w:rsidR="004D1318" w:rsidRPr="002B6F86">
        <w:rPr>
          <w:sz w:val="24"/>
          <w:szCs w:val="24"/>
        </w:rPr>
        <w:t>)</w:t>
      </w:r>
      <w:r w:rsidR="00691641" w:rsidRPr="002B6F86">
        <w:rPr>
          <w:sz w:val="24"/>
          <w:szCs w:val="24"/>
        </w:rPr>
        <w:t>.</w:t>
      </w:r>
      <w:r w:rsidR="00685DCE">
        <w:rPr>
          <w:rFonts w:eastAsia="Times New Roman"/>
          <w:noProof/>
          <w:sz w:val="24"/>
          <w:szCs w:val="24"/>
        </w:rPr>
        <w:t>(</w:t>
      </w:r>
      <w:proofErr w:type="gramEnd"/>
      <w:r w:rsidR="00685DCE">
        <w:rPr>
          <w:rFonts w:eastAsia="Times New Roman"/>
          <w:noProof/>
          <w:sz w:val="24"/>
          <w:szCs w:val="24"/>
        </w:rPr>
        <w:t>19)</w:t>
      </w:r>
      <w:r w:rsidR="0064660F" w:rsidRPr="002B6F86">
        <w:rPr>
          <w:sz w:val="24"/>
          <w:szCs w:val="24"/>
        </w:rPr>
        <w:t xml:space="preserve"> </w:t>
      </w:r>
    </w:p>
    <w:p w14:paraId="632F77F3" w14:textId="123B328A" w:rsidR="00691641" w:rsidRPr="002B6F86" w:rsidRDefault="00691641" w:rsidP="00B34E09">
      <w:pPr>
        <w:spacing w:line="480" w:lineRule="auto"/>
        <w:ind w:firstLine="720"/>
        <w:jc w:val="both"/>
        <w:rPr>
          <w:sz w:val="24"/>
          <w:szCs w:val="24"/>
        </w:rPr>
      </w:pPr>
      <w:r w:rsidRPr="00B34E09">
        <w:rPr>
          <w:b/>
          <w:i/>
          <w:sz w:val="24"/>
          <w:szCs w:val="24"/>
        </w:rPr>
        <w:t>P</w:t>
      </w:r>
      <w:r w:rsidR="00080BC7" w:rsidRPr="00B34E09">
        <w:rPr>
          <w:b/>
          <w:i/>
          <w:sz w:val="24"/>
          <w:szCs w:val="24"/>
        </w:rPr>
        <w:t xml:space="preserve">re-existing </w:t>
      </w:r>
      <w:r w:rsidR="007C5D8D" w:rsidRPr="00B34E09">
        <w:rPr>
          <w:b/>
          <w:i/>
          <w:sz w:val="24"/>
          <w:szCs w:val="24"/>
        </w:rPr>
        <w:t>comorbidity</w:t>
      </w:r>
      <w:r w:rsidR="00080BC7" w:rsidRPr="00B34E09">
        <w:rPr>
          <w:b/>
          <w:i/>
          <w:sz w:val="24"/>
          <w:szCs w:val="24"/>
        </w:rPr>
        <w:t xml:space="preserve"> burden</w:t>
      </w:r>
      <w:r w:rsidRPr="00B34E09">
        <w:rPr>
          <w:b/>
          <w:i/>
          <w:sz w:val="24"/>
          <w:szCs w:val="24"/>
        </w:rPr>
        <w:t>:</w:t>
      </w:r>
      <w:r w:rsidR="00080BC7" w:rsidRPr="002B6F86">
        <w:rPr>
          <w:sz w:val="24"/>
          <w:szCs w:val="24"/>
        </w:rPr>
        <w:t xml:space="preserve"> </w:t>
      </w:r>
      <w:r w:rsidR="001D4027" w:rsidRPr="002B6F86">
        <w:rPr>
          <w:sz w:val="24"/>
          <w:szCs w:val="24"/>
        </w:rPr>
        <w:t>We used the F</w:t>
      </w:r>
      <w:r w:rsidR="00080BC7" w:rsidRPr="002B6F86">
        <w:rPr>
          <w:sz w:val="24"/>
          <w:szCs w:val="24"/>
        </w:rPr>
        <w:t xml:space="preserve">unctional </w:t>
      </w:r>
      <w:r w:rsidR="007C5D8D" w:rsidRPr="002B6F86">
        <w:rPr>
          <w:sz w:val="24"/>
          <w:szCs w:val="24"/>
        </w:rPr>
        <w:t>Comorbidity</w:t>
      </w:r>
      <w:r w:rsidR="00080BC7" w:rsidRPr="002B6F86">
        <w:rPr>
          <w:sz w:val="24"/>
          <w:szCs w:val="24"/>
        </w:rPr>
        <w:t xml:space="preserve"> Index </w:t>
      </w:r>
      <w:r w:rsidR="00324149" w:rsidRPr="002B6F86">
        <w:rPr>
          <w:sz w:val="24"/>
          <w:szCs w:val="24"/>
        </w:rPr>
        <w:t>(</w:t>
      </w:r>
      <w:r w:rsidR="0003741E" w:rsidRPr="002B6F86">
        <w:rPr>
          <w:sz w:val="24"/>
          <w:szCs w:val="24"/>
        </w:rPr>
        <w:t>FCI</w:t>
      </w:r>
      <w:r w:rsidR="001D4027" w:rsidRPr="002B6F86">
        <w:rPr>
          <w:sz w:val="24"/>
          <w:szCs w:val="24"/>
        </w:rPr>
        <w:t>)</w:t>
      </w:r>
      <w:r w:rsidR="0032096F" w:rsidRPr="002B6F86">
        <w:rPr>
          <w:sz w:val="24"/>
          <w:szCs w:val="24"/>
        </w:rPr>
        <w:t xml:space="preserve"> assessed at study entry by review of medical records, and by discussion with </w:t>
      </w:r>
      <w:r w:rsidR="00532CE8" w:rsidRPr="002B6F86">
        <w:rPr>
          <w:sz w:val="24"/>
          <w:szCs w:val="24"/>
        </w:rPr>
        <w:t>patients and families</w:t>
      </w:r>
      <w:r w:rsidR="0032096F" w:rsidRPr="002B6F86">
        <w:rPr>
          <w:sz w:val="24"/>
          <w:szCs w:val="24"/>
        </w:rPr>
        <w:t xml:space="preserve">. </w:t>
      </w:r>
      <w:r w:rsidR="001D4027" w:rsidRPr="002B6F86">
        <w:rPr>
          <w:sz w:val="24"/>
          <w:szCs w:val="24"/>
        </w:rPr>
        <w:t>This validated measure is</w:t>
      </w:r>
      <w:r w:rsidR="00080BC7" w:rsidRPr="002B6F86">
        <w:rPr>
          <w:sz w:val="24"/>
          <w:szCs w:val="24"/>
        </w:rPr>
        <w:t xml:space="preserve"> </w:t>
      </w:r>
      <w:r w:rsidR="007C5D8D" w:rsidRPr="002B6F86">
        <w:rPr>
          <w:sz w:val="24"/>
          <w:szCs w:val="24"/>
        </w:rPr>
        <w:t xml:space="preserve">based on </w:t>
      </w:r>
      <w:r w:rsidR="00A4186E" w:rsidRPr="002B6F86">
        <w:rPr>
          <w:sz w:val="24"/>
          <w:szCs w:val="24"/>
        </w:rPr>
        <w:t>18</w:t>
      </w:r>
      <w:r w:rsidR="001D1188" w:rsidRPr="002B6F86">
        <w:rPr>
          <w:sz w:val="24"/>
          <w:szCs w:val="24"/>
        </w:rPr>
        <w:t xml:space="preserve"> comorbidity </w:t>
      </w:r>
      <w:r w:rsidR="00A4186E" w:rsidRPr="002B6F86">
        <w:rPr>
          <w:sz w:val="24"/>
          <w:szCs w:val="24"/>
        </w:rPr>
        <w:t xml:space="preserve">items with higher scores indicating </w:t>
      </w:r>
      <w:r w:rsidR="00C74813" w:rsidRPr="002B6F86">
        <w:rPr>
          <w:sz w:val="24"/>
          <w:szCs w:val="24"/>
        </w:rPr>
        <w:t xml:space="preserve">more </w:t>
      </w:r>
      <w:proofErr w:type="gramStart"/>
      <w:r w:rsidR="00A4186E" w:rsidRPr="002B6F86">
        <w:rPr>
          <w:sz w:val="24"/>
          <w:szCs w:val="24"/>
        </w:rPr>
        <w:t>comorbidit</w:t>
      </w:r>
      <w:r w:rsidR="00F51709" w:rsidRPr="002B6F86">
        <w:rPr>
          <w:sz w:val="24"/>
          <w:szCs w:val="24"/>
        </w:rPr>
        <w:t>ies</w:t>
      </w:r>
      <w:r w:rsidR="00FA4597" w:rsidRPr="002B6F86">
        <w:rPr>
          <w:sz w:val="24"/>
          <w:szCs w:val="24"/>
        </w:rPr>
        <w:t>.</w:t>
      </w:r>
      <w:r w:rsidR="00685DCE">
        <w:rPr>
          <w:rFonts w:eastAsia="Times New Roman"/>
          <w:noProof/>
          <w:sz w:val="24"/>
          <w:szCs w:val="24"/>
        </w:rPr>
        <w:t>(</w:t>
      </w:r>
      <w:proofErr w:type="gramEnd"/>
      <w:r w:rsidR="00685DCE">
        <w:rPr>
          <w:rFonts w:eastAsia="Times New Roman"/>
          <w:noProof/>
          <w:sz w:val="24"/>
          <w:szCs w:val="24"/>
        </w:rPr>
        <w:t>20, 21)</w:t>
      </w:r>
      <w:r w:rsidR="008D5D00" w:rsidRPr="002B6F86" w:rsidDel="008D5D00">
        <w:rPr>
          <w:rFonts w:eastAsia="Times New Roman"/>
          <w:sz w:val="24"/>
          <w:szCs w:val="24"/>
          <w:vertAlign w:val="superscript"/>
        </w:rPr>
        <w:t xml:space="preserve"> </w:t>
      </w:r>
    </w:p>
    <w:p w14:paraId="77D10FC2" w14:textId="1D9967B4" w:rsidR="00691641" w:rsidRPr="002B6F86" w:rsidRDefault="0025638A" w:rsidP="00B34E09">
      <w:pPr>
        <w:spacing w:line="480" w:lineRule="auto"/>
        <w:ind w:firstLine="720"/>
        <w:jc w:val="both"/>
        <w:rPr>
          <w:sz w:val="24"/>
          <w:szCs w:val="24"/>
        </w:rPr>
      </w:pPr>
      <w:r w:rsidRPr="00B34E09">
        <w:rPr>
          <w:b/>
          <w:i/>
          <w:sz w:val="24"/>
          <w:szCs w:val="24"/>
        </w:rPr>
        <w:t>Features of acute illness</w:t>
      </w:r>
      <w:r w:rsidR="00F34F26" w:rsidRPr="00B34E09">
        <w:rPr>
          <w:b/>
          <w:i/>
          <w:sz w:val="24"/>
          <w:szCs w:val="24"/>
        </w:rPr>
        <w:t xml:space="preserve"> severity</w:t>
      </w:r>
      <w:r w:rsidR="00691641" w:rsidRPr="00B34E09">
        <w:rPr>
          <w:b/>
          <w:i/>
          <w:sz w:val="24"/>
          <w:szCs w:val="24"/>
        </w:rPr>
        <w:t>:</w:t>
      </w:r>
      <w:r w:rsidR="00A4186E" w:rsidRPr="002B6F86">
        <w:rPr>
          <w:sz w:val="24"/>
          <w:szCs w:val="24"/>
        </w:rPr>
        <w:t xml:space="preserve"> </w:t>
      </w:r>
      <w:r w:rsidR="00F51709" w:rsidRPr="002B6F86">
        <w:rPr>
          <w:sz w:val="24"/>
          <w:szCs w:val="24"/>
        </w:rPr>
        <w:t xml:space="preserve">We used the </w:t>
      </w:r>
      <w:r w:rsidR="00A4186E" w:rsidRPr="002B6F86">
        <w:rPr>
          <w:sz w:val="24"/>
          <w:szCs w:val="24"/>
        </w:rPr>
        <w:t xml:space="preserve">APACHE II </w:t>
      </w:r>
      <w:proofErr w:type="gramStart"/>
      <w:r w:rsidR="00A4186E" w:rsidRPr="002B6F86">
        <w:rPr>
          <w:sz w:val="24"/>
          <w:szCs w:val="24"/>
        </w:rPr>
        <w:t>score</w:t>
      </w:r>
      <w:r w:rsidR="008D5D00" w:rsidRPr="002B6F86">
        <w:rPr>
          <w:sz w:val="24"/>
          <w:szCs w:val="24"/>
        </w:rPr>
        <w:t>,</w:t>
      </w:r>
      <w:r w:rsidR="00685DCE">
        <w:rPr>
          <w:noProof/>
          <w:sz w:val="24"/>
          <w:szCs w:val="24"/>
        </w:rPr>
        <w:t>(</w:t>
      </w:r>
      <w:proofErr w:type="gramEnd"/>
      <w:r w:rsidR="00685DCE">
        <w:rPr>
          <w:noProof/>
          <w:sz w:val="24"/>
          <w:szCs w:val="24"/>
        </w:rPr>
        <w:t>22)</w:t>
      </w:r>
      <w:r w:rsidR="00A4186E" w:rsidRPr="002B6F86">
        <w:rPr>
          <w:sz w:val="24"/>
          <w:szCs w:val="24"/>
        </w:rPr>
        <w:t xml:space="preserve"> </w:t>
      </w:r>
      <w:r w:rsidR="00F51709" w:rsidRPr="002B6F86">
        <w:rPr>
          <w:sz w:val="24"/>
          <w:szCs w:val="24"/>
        </w:rPr>
        <w:t xml:space="preserve">and </w:t>
      </w:r>
      <w:r w:rsidR="00A4186E" w:rsidRPr="002B6F86">
        <w:rPr>
          <w:sz w:val="24"/>
          <w:szCs w:val="24"/>
        </w:rPr>
        <w:t>d</w:t>
      </w:r>
      <w:r w:rsidR="009C7AF6" w:rsidRPr="002B6F86">
        <w:rPr>
          <w:sz w:val="24"/>
          <w:szCs w:val="24"/>
        </w:rPr>
        <w:t xml:space="preserve">ays of </w:t>
      </w:r>
      <w:r w:rsidR="003964B9">
        <w:rPr>
          <w:sz w:val="24"/>
          <w:szCs w:val="24"/>
        </w:rPr>
        <w:t>MV</w:t>
      </w:r>
      <w:r w:rsidR="00F51709" w:rsidRPr="002B6F86">
        <w:rPr>
          <w:sz w:val="24"/>
          <w:szCs w:val="24"/>
        </w:rPr>
        <w:t xml:space="preserve">. </w:t>
      </w:r>
    </w:p>
    <w:p w14:paraId="10B810F4" w14:textId="232A7BA4" w:rsidR="009C7AF6" w:rsidRPr="002B6F86" w:rsidRDefault="00691641" w:rsidP="00B34E09">
      <w:pPr>
        <w:spacing w:line="480" w:lineRule="auto"/>
        <w:ind w:firstLine="720"/>
        <w:jc w:val="both"/>
        <w:rPr>
          <w:sz w:val="24"/>
          <w:szCs w:val="24"/>
        </w:rPr>
      </w:pPr>
      <w:r w:rsidRPr="00B34E09">
        <w:rPr>
          <w:b/>
          <w:i/>
          <w:sz w:val="24"/>
          <w:szCs w:val="24"/>
        </w:rPr>
        <w:t>Immediate post-ICU discharge physical status</w:t>
      </w:r>
      <w:r w:rsidRPr="002B6F86">
        <w:rPr>
          <w:i/>
          <w:sz w:val="24"/>
          <w:szCs w:val="24"/>
        </w:rPr>
        <w:t>:</w:t>
      </w:r>
      <w:r w:rsidRPr="002B6F86">
        <w:rPr>
          <w:sz w:val="24"/>
          <w:szCs w:val="24"/>
        </w:rPr>
        <w:t xml:space="preserve"> </w:t>
      </w:r>
      <w:r w:rsidR="00532CE8" w:rsidRPr="002B6F86">
        <w:rPr>
          <w:sz w:val="24"/>
          <w:szCs w:val="24"/>
        </w:rPr>
        <w:t>We</w:t>
      </w:r>
      <w:r w:rsidR="00F51709" w:rsidRPr="002B6F86">
        <w:rPr>
          <w:sz w:val="24"/>
          <w:szCs w:val="24"/>
        </w:rPr>
        <w:t xml:space="preserve"> </w:t>
      </w:r>
      <w:r w:rsidR="00532CE8" w:rsidRPr="002B6F86">
        <w:rPr>
          <w:sz w:val="24"/>
          <w:szCs w:val="24"/>
        </w:rPr>
        <w:t>measured</w:t>
      </w:r>
      <w:r w:rsidR="00F51709" w:rsidRPr="002B6F86">
        <w:rPr>
          <w:sz w:val="24"/>
          <w:szCs w:val="24"/>
        </w:rPr>
        <w:t xml:space="preserve"> the </w:t>
      </w:r>
      <w:r w:rsidRPr="002B6F86">
        <w:rPr>
          <w:sz w:val="24"/>
          <w:szCs w:val="24"/>
        </w:rPr>
        <w:t>Rivermead Mobility Index (</w:t>
      </w:r>
      <w:r w:rsidR="009C7AF6" w:rsidRPr="002B6F86">
        <w:rPr>
          <w:sz w:val="24"/>
          <w:szCs w:val="24"/>
        </w:rPr>
        <w:t>R</w:t>
      </w:r>
      <w:r w:rsidR="00A4186E" w:rsidRPr="002B6F86">
        <w:rPr>
          <w:sz w:val="24"/>
          <w:szCs w:val="24"/>
        </w:rPr>
        <w:t>MI</w:t>
      </w:r>
      <w:r w:rsidR="00F51709" w:rsidRPr="002B6F86">
        <w:rPr>
          <w:sz w:val="24"/>
          <w:szCs w:val="24"/>
        </w:rPr>
        <w:t xml:space="preserve">), and the physical assessment of the Subjective Global Assessment of Nutrition </w:t>
      </w:r>
      <w:r w:rsidR="00315201" w:rsidRPr="002B6F86">
        <w:rPr>
          <w:sz w:val="24"/>
          <w:szCs w:val="24"/>
        </w:rPr>
        <w:t xml:space="preserve">(SGA) </w:t>
      </w:r>
      <w:r w:rsidR="00F51709" w:rsidRPr="002B6F86">
        <w:rPr>
          <w:sz w:val="24"/>
          <w:szCs w:val="24"/>
        </w:rPr>
        <w:t>at enrolment (ICU discharge). The RMI is</w:t>
      </w:r>
      <w:r w:rsidR="00542AB7" w:rsidRPr="002B6F86">
        <w:rPr>
          <w:sz w:val="24"/>
          <w:szCs w:val="24"/>
        </w:rPr>
        <w:t xml:space="preserve"> a hierarchical mobility index ranging from 0 (bedridden) to 15 (able to run</w:t>
      </w:r>
      <w:proofErr w:type="gramStart"/>
      <w:r w:rsidR="00542AB7" w:rsidRPr="002B6F86">
        <w:rPr>
          <w:sz w:val="24"/>
          <w:szCs w:val="24"/>
        </w:rPr>
        <w:t>)</w:t>
      </w:r>
      <w:r w:rsidR="00F51709" w:rsidRPr="002B6F86">
        <w:rPr>
          <w:sz w:val="24"/>
          <w:szCs w:val="24"/>
        </w:rPr>
        <w:t>.</w:t>
      </w:r>
      <w:r w:rsidR="00685DCE">
        <w:rPr>
          <w:noProof/>
          <w:sz w:val="24"/>
          <w:szCs w:val="24"/>
        </w:rPr>
        <w:t>(</w:t>
      </w:r>
      <w:proofErr w:type="gramEnd"/>
      <w:r w:rsidR="00685DCE">
        <w:rPr>
          <w:noProof/>
          <w:sz w:val="24"/>
          <w:szCs w:val="24"/>
        </w:rPr>
        <w:t>23)</w:t>
      </w:r>
      <w:r w:rsidR="00F51709" w:rsidRPr="002B6F86">
        <w:rPr>
          <w:sz w:val="24"/>
          <w:szCs w:val="24"/>
        </w:rPr>
        <w:t xml:space="preserve"> The</w:t>
      </w:r>
      <w:r w:rsidR="00A4186E" w:rsidRPr="002B6F86">
        <w:rPr>
          <w:sz w:val="24"/>
          <w:szCs w:val="24"/>
        </w:rPr>
        <w:t xml:space="preserve"> </w:t>
      </w:r>
      <w:r w:rsidR="00315201" w:rsidRPr="002B6F86">
        <w:rPr>
          <w:sz w:val="24"/>
          <w:szCs w:val="24"/>
        </w:rPr>
        <w:t>SGA</w:t>
      </w:r>
      <w:r w:rsidR="00A4186E" w:rsidRPr="002B6F86">
        <w:rPr>
          <w:sz w:val="24"/>
          <w:szCs w:val="24"/>
        </w:rPr>
        <w:t xml:space="preserve"> </w:t>
      </w:r>
      <w:r w:rsidR="00315201" w:rsidRPr="002B6F86">
        <w:rPr>
          <w:sz w:val="24"/>
          <w:szCs w:val="24"/>
        </w:rPr>
        <w:t xml:space="preserve">is </w:t>
      </w:r>
      <w:r w:rsidR="00D36C07" w:rsidRPr="002B6F86">
        <w:rPr>
          <w:sz w:val="24"/>
          <w:szCs w:val="24"/>
        </w:rPr>
        <w:t xml:space="preserve">a subjective </w:t>
      </w:r>
      <w:r w:rsidR="00B901A9" w:rsidRPr="002B6F86">
        <w:rPr>
          <w:sz w:val="24"/>
          <w:szCs w:val="24"/>
        </w:rPr>
        <w:t xml:space="preserve">clinical </w:t>
      </w:r>
      <w:r w:rsidR="00D36C07" w:rsidRPr="002B6F86">
        <w:rPr>
          <w:sz w:val="24"/>
          <w:szCs w:val="24"/>
        </w:rPr>
        <w:t xml:space="preserve">assessment of nutritional status based on signs of fat loss, muscle wasting, and </w:t>
      </w:r>
      <w:r w:rsidR="00B901A9" w:rsidRPr="002B6F86">
        <w:rPr>
          <w:sz w:val="24"/>
          <w:szCs w:val="24"/>
        </w:rPr>
        <w:t>oedema</w:t>
      </w:r>
      <w:r w:rsidR="00532CE8" w:rsidRPr="002B6F86">
        <w:rPr>
          <w:sz w:val="24"/>
          <w:szCs w:val="24"/>
        </w:rPr>
        <w:t xml:space="preserve"> measured on</w:t>
      </w:r>
      <w:r w:rsidR="009A28D5" w:rsidRPr="002B6F86">
        <w:rPr>
          <w:sz w:val="24"/>
          <w:szCs w:val="24"/>
        </w:rPr>
        <w:t xml:space="preserve"> a scale</w:t>
      </w:r>
      <w:r w:rsidR="00532CE8" w:rsidRPr="002B6F86">
        <w:rPr>
          <w:sz w:val="24"/>
          <w:szCs w:val="24"/>
        </w:rPr>
        <w:t xml:space="preserve"> of </w:t>
      </w:r>
      <w:r w:rsidR="009A28D5" w:rsidRPr="002B6F86">
        <w:rPr>
          <w:sz w:val="24"/>
          <w:szCs w:val="24"/>
        </w:rPr>
        <w:t xml:space="preserve">1 </w:t>
      </w:r>
      <w:r w:rsidR="00EE4DEE" w:rsidRPr="002B6F86">
        <w:rPr>
          <w:sz w:val="24"/>
          <w:szCs w:val="24"/>
        </w:rPr>
        <w:t>(</w:t>
      </w:r>
      <w:proofErr w:type="spellStart"/>
      <w:r w:rsidR="00EE4DEE" w:rsidRPr="002B6F86">
        <w:rPr>
          <w:sz w:val="24"/>
          <w:szCs w:val="24"/>
        </w:rPr>
        <w:t>well nou</w:t>
      </w:r>
      <w:r w:rsidR="0021273F" w:rsidRPr="002B6F86">
        <w:rPr>
          <w:sz w:val="24"/>
          <w:szCs w:val="24"/>
        </w:rPr>
        <w:t>rished</w:t>
      </w:r>
      <w:proofErr w:type="spellEnd"/>
      <w:r w:rsidR="0021273F" w:rsidRPr="002B6F86">
        <w:rPr>
          <w:sz w:val="24"/>
          <w:szCs w:val="24"/>
        </w:rPr>
        <w:t>) to 3 (severely malnourished)</w:t>
      </w:r>
      <w:r w:rsidR="0094355C">
        <w:rPr>
          <w:sz w:val="24"/>
          <w:szCs w:val="24"/>
        </w:rPr>
        <w:t>.</w:t>
      </w:r>
      <w:r w:rsidR="0094355C">
        <w:rPr>
          <w:noProof/>
          <w:sz w:val="24"/>
          <w:szCs w:val="24"/>
        </w:rPr>
        <w:t>(24)</w:t>
      </w:r>
      <w:r w:rsidR="0094355C" w:rsidRPr="003964B9" w:rsidDel="0094355C">
        <w:rPr>
          <w:rFonts w:eastAsia="Times New Roman"/>
          <w:sz w:val="24"/>
          <w:szCs w:val="24"/>
          <w:vertAlign w:val="superscript"/>
        </w:rPr>
        <w:t xml:space="preserve"> </w:t>
      </w:r>
    </w:p>
    <w:p w14:paraId="62B99AD0" w14:textId="77777777" w:rsidR="00461EC6" w:rsidRPr="00B34E09" w:rsidRDefault="00A4186E">
      <w:pPr>
        <w:spacing w:line="480" w:lineRule="auto"/>
        <w:jc w:val="both"/>
        <w:outlineLvl w:val="0"/>
        <w:rPr>
          <w:i/>
          <w:sz w:val="24"/>
          <w:szCs w:val="24"/>
        </w:rPr>
      </w:pPr>
      <w:r w:rsidRPr="00B34E09">
        <w:rPr>
          <w:i/>
          <w:sz w:val="24"/>
          <w:szCs w:val="24"/>
        </w:rPr>
        <w:t>Analysis</w:t>
      </w:r>
    </w:p>
    <w:p w14:paraId="76906229" w14:textId="4E0305D4" w:rsidR="003964B9" w:rsidRPr="003964B9" w:rsidRDefault="003964B9" w:rsidP="003964B9">
      <w:pPr>
        <w:spacing w:line="480" w:lineRule="auto"/>
        <w:ind w:firstLine="720"/>
        <w:jc w:val="both"/>
        <w:rPr>
          <w:sz w:val="24"/>
          <w:szCs w:val="24"/>
        </w:rPr>
      </w:pPr>
      <w:r>
        <w:rPr>
          <w:sz w:val="24"/>
          <w:szCs w:val="24"/>
        </w:rPr>
        <w:lastRenderedPageBreak/>
        <w:t>Statistical</w:t>
      </w:r>
      <w:r w:rsidR="00532CE8" w:rsidRPr="002B6F86">
        <w:rPr>
          <w:sz w:val="24"/>
          <w:szCs w:val="24"/>
        </w:rPr>
        <w:t xml:space="preserve"> analysis was conducted using </w:t>
      </w:r>
      <w:r w:rsidR="00235F72" w:rsidRPr="002B6F86">
        <w:rPr>
          <w:sz w:val="24"/>
          <w:szCs w:val="24"/>
        </w:rPr>
        <w:t>SPSS (IBM Corp. Released 2012. SPSS Statistics for Mackintosh, version 21·0, Armonk, NY; or Released 2016. SPSS Statistics for Mackintosh, version 24·0, Armonk, NY).</w:t>
      </w:r>
      <w:r>
        <w:rPr>
          <w:sz w:val="24"/>
          <w:szCs w:val="24"/>
        </w:rPr>
        <w:t xml:space="preserve">  Sankey plots were created using </w:t>
      </w:r>
      <w:proofErr w:type="spellStart"/>
      <w:r w:rsidR="007B4973">
        <w:rPr>
          <w:sz w:val="24"/>
          <w:szCs w:val="24"/>
        </w:rPr>
        <w:t>SankeyMATIC</w:t>
      </w:r>
      <w:proofErr w:type="spellEnd"/>
      <w:r w:rsidR="007B4973">
        <w:rPr>
          <w:sz w:val="24"/>
          <w:szCs w:val="24"/>
        </w:rPr>
        <w:t xml:space="preserve"> (</w:t>
      </w:r>
      <w:r w:rsidR="007B4973" w:rsidRPr="007B4973">
        <w:rPr>
          <w:sz w:val="24"/>
          <w:szCs w:val="24"/>
        </w:rPr>
        <w:t>http://sankeymatic.com/build/</w:t>
      </w:r>
      <w:r w:rsidR="007B4973">
        <w:rPr>
          <w:sz w:val="24"/>
          <w:szCs w:val="24"/>
        </w:rPr>
        <w:t>).</w:t>
      </w:r>
    </w:p>
    <w:p w14:paraId="370B6F83" w14:textId="2AC82DD9" w:rsidR="00971744" w:rsidRPr="00B34E09" w:rsidRDefault="007B3C79">
      <w:pPr>
        <w:spacing w:line="480" w:lineRule="auto"/>
        <w:jc w:val="both"/>
        <w:rPr>
          <w:rStyle w:val="Emphasis"/>
          <w:b/>
          <w:sz w:val="24"/>
          <w:szCs w:val="24"/>
        </w:rPr>
      </w:pPr>
      <w:r w:rsidRPr="00B34E09">
        <w:rPr>
          <w:rStyle w:val="Emphasis"/>
          <w:b/>
          <w:sz w:val="24"/>
          <w:szCs w:val="24"/>
        </w:rPr>
        <w:t>C</w:t>
      </w:r>
      <w:r w:rsidR="00971744" w:rsidRPr="00B34E09">
        <w:rPr>
          <w:rStyle w:val="Emphasis"/>
          <w:b/>
          <w:sz w:val="24"/>
          <w:szCs w:val="24"/>
        </w:rPr>
        <w:t xml:space="preserve">ohort level trajectories of PCS and MCS between 3 </w:t>
      </w:r>
      <w:r w:rsidR="00725B86" w:rsidRPr="00B34E09">
        <w:rPr>
          <w:rStyle w:val="Emphasis"/>
          <w:b/>
          <w:sz w:val="24"/>
          <w:szCs w:val="24"/>
        </w:rPr>
        <w:t>months</w:t>
      </w:r>
      <w:r w:rsidR="00971744" w:rsidRPr="00B34E09">
        <w:rPr>
          <w:rStyle w:val="Emphasis"/>
          <w:b/>
          <w:sz w:val="24"/>
          <w:szCs w:val="24"/>
        </w:rPr>
        <w:t xml:space="preserve"> and 12 months after ICU discharge</w:t>
      </w:r>
    </w:p>
    <w:p w14:paraId="690E266A" w14:textId="221D5A3F" w:rsidR="007B3C79" w:rsidRPr="002B6F86" w:rsidRDefault="00532CE8" w:rsidP="00B34E09">
      <w:pPr>
        <w:spacing w:line="480" w:lineRule="auto"/>
        <w:ind w:firstLine="720"/>
        <w:jc w:val="both"/>
        <w:rPr>
          <w:sz w:val="24"/>
          <w:szCs w:val="24"/>
        </w:rPr>
      </w:pPr>
      <w:r w:rsidRPr="002B6F86">
        <w:rPr>
          <w:sz w:val="24"/>
          <w:szCs w:val="24"/>
        </w:rPr>
        <w:t>PCS and MCS</w:t>
      </w:r>
      <w:r w:rsidR="00315201" w:rsidRPr="00B34E09">
        <w:rPr>
          <w:sz w:val="24"/>
          <w:szCs w:val="24"/>
        </w:rPr>
        <w:t xml:space="preserve"> trajectories </w:t>
      </w:r>
      <w:r w:rsidR="00EE4DEE" w:rsidRPr="002B6F86">
        <w:rPr>
          <w:sz w:val="24"/>
          <w:szCs w:val="24"/>
        </w:rPr>
        <w:t xml:space="preserve">were plotted for </w:t>
      </w:r>
      <w:r w:rsidRPr="002B6F86">
        <w:rPr>
          <w:sz w:val="24"/>
          <w:szCs w:val="24"/>
        </w:rPr>
        <w:t>indi</w:t>
      </w:r>
      <w:r w:rsidR="007B3C79" w:rsidRPr="002B6F86">
        <w:rPr>
          <w:sz w:val="24"/>
          <w:szCs w:val="24"/>
        </w:rPr>
        <w:t>vi</w:t>
      </w:r>
      <w:r w:rsidRPr="002B6F86">
        <w:rPr>
          <w:sz w:val="24"/>
          <w:szCs w:val="24"/>
        </w:rPr>
        <w:t>dual patients.</w:t>
      </w:r>
      <w:r w:rsidR="00315201" w:rsidRPr="002B6F86">
        <w:rPr>
          <w:sz w:val="24"/>
          <w:szCs w:val="24"/>
        </w:rPr>
        <w:t xml:space="preserve"> </w:t>
      </w:r>
      <w:r w:rsidRPr="002B6F86">
        <w:rPr>
          <w:sz w:val="24"/>
          <w:szCs w:val="24"/>
        </w:rPr>
        <w:t xml:space="preserve">  Mean</w:t>
      </w:r>
      <w:r w:rsidR="0064660F" w:rsidRPr="002B6F86">
        <w:rPr>
          <w:sz w:val="24"/>
          <w:szCs w:val="24"/>
        </w:rPr>
        <w:t xml:space="preserve"> (</w:t>
      </w:r>
      <w:r w:rsidR="008D1178" w:rsidRPr="002B6F86">
        <w:rPr>
          <w:sz w:val="24"/>
          <w:szCs w:val="24"/>
        </w:rPr>
        <w:t>95% confidence interval (CI)</w:t>
      </w:r>
      <w:r w:rsidR="0064660F" w:rsidRPr="002B6F86">
        <w:rPr>
          <w:sz w:val="24"/>
          <w:szCs w:val="24"/>
        </w:rPr>
        <w:t xml:space="preserve">) </w:t>
      </w:r>
      <w:r w:rsidR="005D5F03" w:rsidRPr="002B6F86">
        <w:rPr>
          <w:sz w:val="24"/>
          <w:szCs w:val="24"/>
        </w:rPr>
        <w:t xml:space="preserve">PCS and MCS </w:t>
      </w:r>
      <w:r w:rsidRPr="002B6F86">
        <w:rPr>
          <w:sz w:val="24"/>
          <w:szCs w:val="24"/>
        </w:rPr>
        <w:t>were</w:t>
      </w:r>
      <w:r w:rsidR="00315201" w:rsidRPr="002B6F86">
        <w:rPr>
          <w:sz w:val="24"/>
          <w:szCs w:val="24"/>
        </w:rPr>
        <w:t xml:space="preserve"> plotted </w:t>
      </w:r>
      <w:r w:rsidRPr="002B6F86">
        <w:rPr>
          <w:sz w:val="24"/>
          <w:szCs w:val="24"/>
        </w:rPr>
        <w:t xml:space="preserve">to </w:t>
      </w:r>
      <w:r w:rsidR="007B3C79" w:rsidRPr="002B6F86">
        <w:rPr>
          <w:sz w:val="24"/>
          <w:szCs w:val="24"/>
        </w:rPr>
        <w:t>summarise</w:t>
      </w:r>
      <w:r w:rsidR="00956D57" w:rsidRPr="002B6F86">
        <w:rPr>
          <w:sz w:val="24"/>
          <w:szCs w:val="24"/>
        </w:rPr>
        <w:t xml:space="preserve"> </w:t>
      </w:r>
      <w:r w:rsidRPr="002B6F86">
        <w:rPr>
          <w:sz w:val="24"/>
          <w:szCs w:val="24"/>
        </w:rPr>
        <w:t>cohort</w:t>
      </w:r>
      <w:r w:rsidR="00315201" w:rsidRPr="002B6F86">
        <w:rPr>
          <w:sz w:val="24"/>
          <w:szCs w:val="24"/>
        </w:rPr>
        <w:t xml:space="preserve"> </w:t>
      </w:r>
      <w:r w:rsidRPr="002B6F86">
        <w:rPr>
          <w:sz w:val="24"/>
          <w:szCs w:val="24"/>
        </w:rPr>
        <w:t>level trajector</w:t>
      </w:r>
      <w:r w:rsidR="007B3C79" w:rsidRPr="002B6F86">
        <w:rPr>
          <w:sz w:val="24"/>
          <w:szCs w:val="24"/>
        </w:rPr>
        <w:t>ies</w:t>
      </w:r>
      <w:r w:rsidRPr="002B6F86">
        <w:rPr>
          <w:sz w:val="24"/>
          <w:szCs w:val="24"/>
        </w:rPr>
        <w:t>.  Comparison between PCS and MCS</w:t>
      </w:r>
      <w:r w:rsidR="005D5F03" w:rsidRPr="002B6F86">
        <w:rPr>
          <w:sz w:val="24"/>
          <w:szCs w:val="24"/>
        </w:rPr>
        <w:t xml:space="preserve"> </w:t>
      </w:r>
      <w:r w:rsidRPr="002B6F86">
        <w:rPr>
          <w:sz w:val="24"/>
          <w:szCs w:val="24"/>
        </w:rPr>
        <w:t xml:space="preserve">at </w:t>
      </w:r>
      <w:r w:rsidR="005D5F03" w:rsidRPr="002B6F86">
        <w:rPr>
          <w:sz w:val="24"/>
          <w:szCs w:val="24"/>
        </w:rPr>
        <w:t>3 and 12 months</w:t>
      </w:r>
      <w:r w:rsidR="00FD63BA" w:rsidRPr="002B6F86">
        <w:rPr>
          <w:sz w:val="24"/>
          <w:szCs w:val="24"/>
        </w:rPr>
        <w:t xml:space="preserve"> </w:t>
      </w:r>
      <w:r w:rsidRPr="002B6F86">
        <w:rPr>
          <w:sz w:val="24"/>
          <w:szCs w:val="24"/>
        </w:rPr>
        <w:t xml:space="preserve">was made </w:t>
      </w:r>
      <w:r w:rsidR="00FD63BA" w:rsidRPr="002B6F86">
        <w:rPr>
          <w:sz w:val="24"/>
          <w:szCs w:val="24"/>
        </w:rPr>
        <w:t>using paired t tests</w:t>
      </w:r>
      <w:r w:rsidR="005D5F03" w:rsidRPr="002B6F86">
        <w:rPr>
          <w:sz w:val="24"/>
          <w:szCs w:val="24"/>
        </w:rPr>
        <w:t>.</w:t>
      </w:r>
      <w:r w:rsidR="0064660F" w:rsidRPr="002B6F86">
        <w:rPr>
          <w:sz w:val="24"/>
          <w:szCs w:val="24"/>
        </w:rPr>
        <w:t xml:space="preserve"> </w:t>
      </w:r>
    </w:p>
    <w:p w14:paraId="02A65571" w14:textId="577CAE20" w:rsidR="00971744" w:rsidRPr="00B34E09" w:rsidRDefault="007B3C79">
      <w:pPr>
        <w:spacing w:line="480" w:lineRule="auto"/>
        <w:jc w:val="both"/>
        <w:rPr>
          <w:rStyle w:val="Emphasis"/>
          <w:i w:val="0"/>
          <w:iCs w:val="0"/>
        </w:rPr>
      </w:pPr>
      <w:r w:rsidRPr="00B34E09">
        <w:rPr>
          <w:rStyle w:val="Emphasis"/>
          <w:b/>
          <w:sz w:val="24"/>
          <w:szCs w:val="24"/>
        </w:rPr>
        <w:t>P</w:t>
      </w:r>
      <w:r w:rsidR="00971744" w:rsidRPr="00B34E09">
        <w:rPr>
          <w:rStyle w:val="Emphasis"/>
          <w:b/>
        </w:rPr>
        <w:t xml:space="preserve">roportions of patients that showed no clinically important improvement of PCS and MCS between 3 and 12 months </w:t>
      </w:r>
    </w:p>
    <w:p w14:paraId="3879FFD7" w14:textId="3DFB4A5C" w:rsidR="0064660F" w:rsidRPr="002B6F86" w:rsidRDefault="00971744" w:rsidP="00B34E09">
      <w:pPr>
        <w:spacing w:line="480" w:lineRule="auto"/>
        <w:ind w:firstLine="720"/>
        <w:jc w:val="both"/>
        <w:rPr>
          <w:sz w:val="24"/>
          <w:szCs w:val="24"/>
        </w:rPr>
      </w:pPr>
      <w:r w:rsidRPr="002B6F86">
        <w:rPr>
          <w:sz w:val="24"/>
          <w:szCs w:val="24"/>
        </w:rPr>
        <w:t>W</w:t>
      </w:r>
      <w:r w:rsidR="00FD63BA" w:rsidRPr="002B6F86">
        <w:rPr>
          <w:sz w:val="24"/>
          <w:szCs w:val="24"/>
        </w:rPr>
        <w:t xml:space="preserve">e defined a </w:t>
      </w:r>
      <w:r w:rsidR="003D1694" w:rsidRPr="002B6F86">
        <w:rPr>
          <w:sz w:val="24"/>
          <w:szCs w:val="24"/>
        </w:rPr>
        <w:t xml:space="preserve">minimum clinical important difference </w:t>
      </w:r>
      <w:r w:rsidR="007C5D8D" w:rsidRPr="002B6F86">
        <w:rPr>
          <w:sz w:val="24"/>
          <w:szCs w:val="24"/>
        </w:rPr>
        <w:t xml:space="preserve">(MCID) </w:t>
      </w:r>
      <w:r w:rsidR="005D5F03" w:rsidRPr="002B6F86">
        <w:rPr>
          <w:sz w:val="24"/>
          <w:szCs w:val="24"/>
        </w:rPr>
        <w:t xml:space="preserve">in PCS and MCS </w:t>
      </w:r>
      <w:r w:rsidR="007C5D8D" w:rsidRPr="002B6F86">
        <w:rPr>
          <w:sz w:val="24"/>
          <w:szCs w:val="24"/>
        </w:rPr>
        <w:t>as &gt;±5 points</w:t>
      </w:r>
      <w:r w:rsidR="00FD63BA" w:rsidRPr="002B6F86">
        <w:rPr>
          <w:sz w:val="24"/>
          <w:szCs w:val="24"/>
        </w:rPr>
        <w:t xml:space="preserve"> </w:t>
      </w:r>
      <w:r w:rsidRPr="002B6F86">
        <w:rPr>
          <w:sz w:val="24"/>
          <w:szCs w:val="24"/>
        </w:rPr>
        <w:t>(</w:t>
      </w:r>
      <w:r w:rsidR="00FD63BA" w:rsidRPr="002B6F86">
        <w:rPr>
          <w:sz w:val="24"/>
          <w:szCs w:val="24"/>
        </w:rPr>
        <w:t>consistent with published literature</w:t>
      </w:r>
      <w:r w:rsidRPr="002B6F86">
        <w:rPr>
          <w:sz w:val="24"/>
          <w:szCs w:val="24"/>
        </w:rPr>
        <w:t xml:space="preserve">) and used Sankey plots to illustrate </w:t>
      </w:r>
      <w:r w:rsidR="00C814AC" w:rsidRPr="002B6F86">
        <w:rPr>
          <w:sz w:val="24"/>
          <w:szCs w:val="24"/>
        </w:rPr>
        <w:t>groups of patients</w:t>
      </w:r>
      <w:r w:rsidRPr="002B6F86">
        <w:rPr>
          <w:sz w:val="24"/>
          <w:szCs w:val="24"/>
        </w:rPr>
        <w:t xml:space="preserve"> that improved, deteriorated, or remained static between 3 months and 12 </w:t>
      </w:r>
      <w:proofErr w:type="gramStart"/>
      <w:r w:rsidRPr="002B6F86">
        <w:rPr>
          <w:sz w:val="24"/>
          <w:szCs w:val="24"/>
        </w:rPr>
        <w:t>months</w:t>
      </w:r>
      <w:r w:rsidR="00E575E9" w:rsidRPr="002B6F86">
        <w:rPr>
          <w:sz w:val="24"/>
          <w:szCs w:val="24"/>
        </w:rPr>
        <w:t>.</w:t>
      </w:r>
      <w:r w:rsidR="0094355C">
        <w:rPr>
          <w:noProof/>
          <w:sz w:val="24"/>
          <w:szCs w:val="24"/>
        </w:rPr>
        <w:t>(</w:t>
      </w:r>
      <w:proofErr w:type="gramEnd"/>
      <w:r w:rsidR="0094355C">
        <w:rPr>
          <w:noProof/>
          <w:sz w:val="24"/>
          <w:szCs w:val="24"/>
        </w:rPr>
        <w:t>25)</w:t>
      </w:r>
      <w:r w:rsidR="001B033A" w:rsidRPr="002B6F86">
        <w:rPr>
          <w:sz w:val="24"/>
          <w:szCs w:val="24"/>
        </w:rPr>
        <w:t xml:space="preserve"> </w:t>
      </w:r>
      <w:r w:rsidRPr="002B6F86">
        <w:rPr>
          <w:sz w:val="24"/>
          <w:szCs w:val="24"/>
        </w:rPr>
        <w:t xml:space="preserve">To explore </w:t>
      </w:r>
      <w:r w:rsidR="000E0799" w:rsidRPr="002B6F86">
        <w:rPr>
          <w:sz w:val="24"/>
          <w:szCs w:val="24"/>
        </w:rPr>
        <w:t>floor and ceiling effects in this analysis, we re</w:t>
      </w:r>
      <w:r w:rsidR="00515355" w:rsidRPr="002B6F86">
        <w:rPr>
          <w:sz w:val="24"/>
          <w:szCs w:val="24"/>
        </w:rPr>
        <w:t>-</w:t>
      </w:r>
      <w:r w:rsidR="000E0799" w:rsidRPr="002B6F86">
        <w:rPr>
          <w:sz w:val="24"/>
          <w:szCs w:val="24"/>
        </w:rPr>
        <w:t xml:space="preserve">plotted the Sankey plots for each quartile of </w:t>
      </w:r>
      <w:r w:rsidR="00C814AC" w:rsidRPr="002B6F86">
        <w:rPr>
          <w:sz w:val="24"/>
          <w:szCs w:val="24"/>
        </w:rPr>
        <w:t xml:space="preserve"> </w:t>
      </w:r>
      <w:proofErr w:type="spellStart"/>
      <w:r w:rsidR="00C814AC" w:rsidRPr="002B6F86">
        <w:rPr>
          <w:sz w:val="24"/>
          <w:szCs w:val="24"/>
        </w:rPr>
        <w:t>HRQoL</w:t>
      </w:r>
      <w:proofErr w:type="spellEnd"/>
      <w:r w:rsidR="00C814AC" w:rsidRPr="002B6F86">
        <w:rPr>
          <w:sz w:val="24"/>
          <w:szCs w:val="24"/>
        </w:rPr>
        <w:t xml:space="preserve"> score </w:t>
      </w:r>
      <w:r w:rsidR="000E0799" w:rsidRPr="002B6F86">
        <w:rPr>
          <w:sz w:val="24"/>
          <w:szCs w:val="24"/>
        </w:rPr>
        <w:t xml:space="preserve">at baseline.  </w:t>
      </w:r>
      <w:r w:rsidR="00FD63BA" w:rsidRPr="002B6F86">
        <w:rPr>
          <w:sz w:val="24"/>
          <w:szCs w:val="24"/>
        </w:rPr>
        <w:t xml:space="preserve"> </w:t>
      </w:r>
    </w:p>
    <w:p w14:paraId="6E470ED4" w14:textId="5D73BE95" w:rsidR="000E0799" w:rsidRPr="00B34E09" w:rsidRDefault="007B3C79">
      <w:pPr>
        <w:spacing w:line="480" w:lineRule="auto"/>
        <w:jc w:val="both"/>
        <w:rPr>
          <w:rStyle w:val="Emphasis"/>
          <w:b/>
        </w:rPr>
      </w:pPr>
      <w:r w:rsidRPr="00B34E09">
        <w:rPr>
          <w:rStyle w:val="Emphasis"/>
          <w:b/>
          <w:sz w:val="24"/>
          <w:szCs w:val="24"/>
        </w:rPr>
        <w:t>F</w:t>
      </w:r>
      <w:r w:rsidR="000E0799" w:rsidRPr="00B34E09">
        <w:rPr>
          <w:rStyle w:val="Emphasis"/>
          <w:b/>
        </w:rPr>
        <w:t xml:space="preserve">actors most strongly associated with </w:t>
      </w:r>
      <w:proofErr w:type="spellStart"/>
      <w:r w:rsidR="000E0799" w:rsidRPr="00B34E09">
        <w:rPr>
          <w:rStyle w:val="Emphasis"/>
          <w:b/>
        </w:rPr>
        <w:t>HRQoL</w:t>
      </w:r>
      <w:proofErr w:type="spellEnd"/>
      <w:r w:rsidR="000E0799" w:rsidRPr="00B34E09">
        <w:rPr>
          <w:rStyle w:val="Emphasis"/>
          <w:b/>
        </w:rPr>
        <w:t xml:space="preserve"> at 6 and 12 months after ICU discharge</w:t>
      </w:r>
    </w:p>
    <w:p w14:paraId="7B040280" w14:textId="5FBE5C09" w:rsidR="007C5D8D" w:rsidRPr="002B6F86" w:rsidRDefault="00FF3A69" w:rsidP="00B34E09">
      <w:pPr>
        <w:spacing w:line="480" w:lineRule="auto"/>
        <w:ind w:firstLine="720"/>
        <w:jc w:val="both"/>
        <w:rPr>
          <w:sz w:val="24"/>
          <w:szCs w:val="24"/>
        </w:rPr>
      </w:pPr>
      <w:r w:rsidRPr="002B6F86">
        <w:rPr>
          <w:sz w:val="24"/>
          <w:szCs w:val="24"/>
        </w:rPr>
        <w:t>We used b</w:t>
      </w:r>
      <w:r w:rsidR="007C5D8D" w:rsidRPr="002B6F86">
        <w:rPr>
          <w:sz w:val="24"/>
          <w:szCs w:val="24"/>
        </w:rPr>
        <w:t>ivariate unadjusted linear regression</w:t>
      </w:r>
      <w:r w:rsidRPr="002B6F86">
        <w:rPr>
          <w:sz w:val="24"/>
          <w:szCs w:val="24"/>
        </w:rPr>
        <w:t xml:space="preserve"> to</w:t>
      </w:r>
      <w:r w:rsidR="006F773C" w:rsidRPr="002B6F86">
        <w:rPr>
          <w:sz w:val="24"/>
          <w:szCs w:val="24"/>
        </w:rPr>
        <w:t xml:space="preserve"> </w:t>
      </w:r>
      <w:r w:rsidR="007C5D8D" w:rsidRPr="002B6F86">
        <w:rPr>
          <w:sz w:val="24"/>
          <w:szCs w:val="24"/>
        </w:rPr>
        <w:t xml:space="preserve">examine </w:t>
      </w:r>
      <w:r w:rsidR="00B507C0" w:rsidRPr="002B6F86">
        <w:rPr>
          <w:sz w:val="24"/>
          <w:szCs w:val="24"/>
        </w:rPr>
        <w:t xml:space="preserve">univariate </w:t>
      </w:r>
      <w:r w:rsidR="007C5D8D" w:rsidRPr="002B6F86">
        <w:rPr>
          <w:sz w:val="24"/>
          <w:szCs w:val="24"/>
        </w:rPr>
        <w:t xml:space="preserve">associations between </w:t>
      </w:r>
      <w:r w:rsidR="00B507C0" w:rsidRPr="002B6F86">
        <w:rPr>
          <w:sz w:val="24"/>
          <w:szCs w:val="24"/>
        </w:rPr>
        <w:t xml:space="preserve">the </w:t>
      </w:r>
      <w:r w:rsidR="007C5D8D" w:rsidRPr="002B6F86">
        <w:rPr>
          <w:sz w:val="24"/>
          <w:szCs w:val="24"/>
        </w:rPr>
        <w:t xml:space="preserve">exposure variables and </w:t>
      </w:r>
      <w:proofErr w:type="spellStart"/>
      <w:r w:rsidR="0074488B" w:rsidRPr="002B6F86">
        <w:rPr>
          <w:sz w:val="24"/>
          <w:szCs w:val="24"/>
        </w:rPr>
        <w:t>HRQoL</w:t>
      </w:r>
      <w:proofErr w:type="spellEnd"/>
      <w:r w:rsidR="00F34F26" w:rsidRPr="002B6F86">
        <w:rPr>
          <w:sz w:val="24"/>
          <w:szCs w:val="24"/>
        </w:rPr>
        <w:t xml:space="preserve"> </w:t>
      </w:r>
      <w:r w:rsidR="007C5D8D" w:rsidRPr="002B6F86">
        <w:rPr>
          <w:sz w:val="24"/>
          <w:szCs w:val="24"/>
        </w:rPr>
        <w:t xml:space="preserve">at 6 </w:t>
      </w:r>
      <w:r w:rsidR="008F47EA" w:rsidRPr="002B6F86">
        <w:rPr>
          <w:sz w:val="24"/>
          <w:szCs w:val="24"/>
        </w:rPr>
        <w:t xml:space="preserve">and 12 </w:t>
      </w:r>
      <w:r w:rsidR="007C5D8D" w:rsidRPr="002B6F86">
        <w:rPr>
          <w:sz w:val="24"/>
          <w:szCs w:val="24"/>
        </w:rPr>
        <w:t>m</w:t>
      </w:r>
      <w:r w:rsidR="00F34F26" w:rsidRPr="002B6F86">
        <w:rPr>
          <w:sz w:val="24"/>
          <w:szCs w:val="24"/>
        </w:rPr>
        <w:t>onths following ICU discharge</w:t>
      </w:r>
      <w:r w:rsidR="008F47EA" w:rsidRPr="002B6F86">
        <w:rPr>
          <w:sz w:val="24"/>
          <w:szCs w:val="24"/>
        </w:rPr>
        <w:t>, and</w:t>
      </w:r>
      <w:r w:rsidRPr="002B6F86">
        <w:rPr>
          <w:sz w:val="24"/>
          <w:szCs w:val="24"/>
        </w:rPr>
        <w:t xml:space="preserve"> m</w:t>
      </w:r>
      <w:r w:rsidR="007C5D8D" w:rsidRPr="002B6F86">
        <w:rPr>
          <w:sz w:val="24"/>
          <w:szCs w:val="24"/>
        </w:rPr>
        <w:t xml:space="preserve">ultivariable </w:t>
      </w:r>
      <w:r w:rsidR="00336305" w:rsidRPr="002B6F86">
        <w:rPr>
          <w:sz w:val="24"/>
          <w:szCs w:val="24"/>
        </w:rPr>
        <w:t xml:space="preserve">linear </w:t>
      </w:r>
      <w:r w:rsidR="007C5D8D" w:rsidRPr="002B6F86">
        <w:rPr>
          <w:sz w:val="24"/>
          <w:szCs w:val="24"/>
        </w:rPr>
        <w:t xml:space="preserve">models </w:t>
      </w:r>
      <w:r w:rsidRPr="002B6F86">
        <w:rPr>
          <w:sz w:val="24"/>
          <w:szCs w:val="24"/>
        </w:rPr>
        <w:t>to explore</w:t>
      </w:r>
      <w:r w:rsidR="007C5D8D" w:rsidRPr="002B6F86">
        <w:rPr>
          <w:sz w:val="24"/>
          <w:szCs w:val="24"/>
        </w:rPr>
        <w:t xml:space="preserve"> the relative importance of each variable. For each </w:t>
      </w:r>
      <w:r w:rsidR="00C05993" w:rsidRPr="002B6F86">
        <w:rPr>
          <w:sz w:val="24"/>
          <w:szCs w:val="24"/>
        </w:rPr>
        <w:t>outcome variable</w:t>
      </w:r>
      <w:r w:rsidR="007C5D8D" w:rsidRPr="002B6F86">
        <w:rPr>
          <w:sz w:val="24"/>
          <w:szCs w:val="24"/>
        </w:rPr>
        <w:t xml:space="preserve">, </w:t>
      </w:r>
      <w:r w:rsidR="006F773C" w:rsidRPr="002B6F86">
        <w:rPr>
          <w:sz w:val="24"/>
          <w:szCs w:val="24"/>
        </w:rPr>
        <w:t>two</w:t>
      </w:r>
      <w:r w:rsidR="007C5D8D" w:rsidRPr="002B6F86">
        <w:rPr>
          <w:sz w:val="24"/>
          <w:szCs w:val="24"/>
        </w:rPr>
        <w:t xml:space="preserve"> models were fitted</w:t>
      </w:r>
      <w:r w:rsidR="00DC7D06" w:rsidRPr="002B6F86">
        <w:rPr>
          <w:sz w:val="24"/>
          <w:szCs w:val="24"/>
        </w:rPr>
        <w:t xml:space="preserve">.  The first model excluded physical status measured at ICU discharge (SGA and RMI at ICU discharge; model 1) on the assumption that these </w:t>
      </w:r>
      <w:r w:rsidR="00DC7D06" w:rsidRPr="002B6F86">
        <w:rPr>
          <w:sz w:val="24"/>
          <w:szCs w:val="24"/>
        </w:rPr>
        <w:lastRenderedPageBreak/>
        <w:t>variables encompassed the effects of the acute illness and the pre-morbid physical function and would not add additional information.  As a sensitivity analysis, the seco</w:t>
      </w:r>
      <w:r w:rsidR="00E575E9" w:rsidRPr="002B6F86">
        <w:rPr>
          <w:sz w:val="24"/>
          <w:szCs w:val="24"/>
        </w:rPr>
        <w:t>n</w:t>
      </w:r>
      <w:r w:rsidR="00DC7D06" w:rsidRPr="002B6F86">
        <w:rPr>
          <w:sz w:val="24"/>
          <w:szCs w:val="24"/>
        </w:rPr>
        <w:t xml:space="preserve">d model </w:t>
      </w:r>
      <w:r w:rsidR="007C5D8D" w:rsidRPr="002B6F86">
        <w:rPr>
          <w:sz w:val="24"/>
          <w:szCs w:val="24"/>
        </w:rPr>
        <w:t>(</w:t>
      </w:r>
      <w:proofErr w:type="spellStart"/>
      <w:r w:rsidR="007C5D8D" w:rsidRPr="002B6F86">
        <w:rPr>
          <w:sz w:val="24"/>
          <w:szCs w:val="24"/>
        </w:rPr>
        <w:t>model</w:t>
      </w:r>
      <w:proofErr w:type="spellEnd"/>
      <w:r w:rsidR="007C5D8D" w:rsidRPr="002B6F86">
        <w:rPr>
          <w:sz w:val="24"/>
          <w:szCs w:val="24"/>
        </w:rPr>
        <w:t xml:space="preserve"> 2)</w:t>
      </w:r>
      <w:r w:rsidR="00DC7D06" w:rsidRPr="002B6F86">
        <w:rPr>
          <w:sz w:val="24"/>
          <w:szCs w:val="24"/>
        </w:rPr>
        <w:t xml:space="preserve"> included </w:t>
      </w:r>
      <w:r w:rsidR="00B507C0" w:rsidRPr="002B6F86">
        <w:rPr>
          <w:sz w:val="24"/>
          <w:szCs w:val="24"/>
        </w:rPr>
        <w:t>the RMI and SGA nutrition</w:t>
      </w:r>
      <w:r w:rsidR="00DC7D06" w:rsidRPr="002B6F86">
        <w:rPr>
          <w:sz w:val="24"/>
          <w:szCs w:val="24"/>
        </w:rPr>
        <w:t xml:space="preserve"> </w:t>
      </w:r>
      <w:r w:rsidR="0005731B" w:rsidRPr="002B6F86">
        <w:rPr>
          <w:sz w:val="24"/>
          <w:szCs w:val="24"/>
        </w:rPr>
        <w:t>at ICU discharge</w:t>
      </w:r>
      <w:r w:rsidR="00C05993" w:rsidRPr="002B6F86">
        <w:rPr>
          <w:sz w:val="24"/>
          <w:szCs w:val="24"/>
        </w:rPr>
        <w:t xml:space="preserve"> to </w:t>
      </w:r>
      <w:r w:rsidR="00B507C0" w:rsidRPr="002B6F86">
        <w:rPr>
          <w:sz w:val="24"/>
          <w:szCs w:val="24"/>
        </w:rPr>
        <w:t>explore</w:t>
      </w:r>
      <w:r w:rsidR="00C05993" w:rsidRPr="002B6F86">
        <w:rPr>
          <w:sz w:val="24"/>
          <w:szCs w:val="24"/>
        </w:rPr>
        <w:t xml:space="preserve"> the possibility that </w:t>
      </w:r>
      <w:r w:rsidR="0005731B" w:rsidRPr="002B6F86">
        <w:rPr>
          <w:sz w:val="24"/>
          <w:szCs w:val="24"/>
        </w:rPr>
        <w:t xml:space="preserve">immediate post-ICU physical status might more </w:t>
      </w:r>
      <w:r w:rsidR="00B507C0" w:rsidRPr="002B6F86">
        <w:rPr>
          <w:sz w:val="24"/>
          <w:szCs w:val="24"/>
        </w:rPr>
        <w:t>strongly account for</w:t>
      </w:r>
      <w:r w:rsidR="00C05993" w:rsidRPr="002B6F86">
        <w:rPr>
          <w:sz w:val="24"/>
          <w:szCs w:val="24"/>
        </w:rPr>
        <w:t xml:space="preserve"> </w:t>
      </w:r>
      <w:r w:rsidR="00B507C0" w:rsidRPr="002B6F86">
        <w:rPr>
          <w:sz w:val="24"/>
          <w:szCs w:val="24"/>
        </w:rPr>
        <w:t xml:space="preserve">long-term </w:t>
      </w:r>
      <w:proofErr w:type="spellStart"/>
      <w:r w:rsidR="00B507C0" w:rsidRPr="002B6F86">
        <w:rPr>
          <w:sz w:val="24"/>
          <w:szCs w:val="24"/>
        </w:rPr>
        <w:t>HRQoL</w:t>
      </w:r>
      <w:proofErr w:type="spellEnd"/>
      <w:r w:rsidR="00C05993" w:rsidRPr="002B6F86">
        <w:rPr>
          <w:sz w:val="24"/>
          <w:szCs w:val="24"/>
        </w:rPr>
        <w:t xml:space="preserve">.  </w:t>
      </w:r>
      <w:r w:rsidR="007C5D8D" w:rsidRPr="002B6F86">
        <w:rPr>
          <w:sz w:val="24"/>
          <w:szCs w:val="24"/>
        </w:rPr>
        <w:t xml:space="preserve"> </w:t>
      </w:r>
      <w:r w:rsidR="00515355" w:rsidRPr="002B6F86">
        <w:rPr>
          <w:sz w:val="24"/>
          <w:szCs w:val="24"/>
        </w:rPr>
        <w:t>RMI was log transformed (Ln(1+RMI)) prior to analysis.</w:t>
      </w:r>
    </w:p>
    <w:p w14:paraId="35ADBF30" w14:textId="187E90EC" w:rsidR="000E0799" w:rsidRPr="00B34E09" w:rsidRDefault="008F47EA">
      <w:pPr>
        <w:spacing w:line="480" w:lineRule="auto"/>
        <w:jc w:val="both"/>
        <w:rPr>
          <w:rStyle w:val="Emphasis"/>
          <w:b/>
        </w:rPr>
      </w:pPr>
      <w:r w:rsidRPr="00B34E09">
        <w:rPr>
          <w:rStyle w:val="Emphasis"/>
          <w:b/>
          <w:sz w:val="24"/>
          <w:szCs w:val="24"/>
        </w:rPr>
        <w:t>R</w:t>
      </w:r>
      <w:r w:rsidR="000E0799" w:rsidRPr="00B34E09">
        <w:rPr>
          <w:rStyle w:val="Emphasis"/>
          <w:b/>
        </w:rPr>
        <w:t xml:space="preserve">isk factors most strongly associated with patient-reported symptoms at 12 </w:t>
      </w:r>
      <w:proofErr w:type="gramStart"/>
      <w:r w:rsidR="000E0799" w:rsidRPr="00B34E09">
        <w:rPr>
          <w:rStyle w:val="Emphasis"/>
          <w:b/>
        </w:rPr>
        <w:t>months</w:t>
      </w:r>
      <w:proofErr w:type="gramEnd"/>
      <w:r w:rsidR="000E0799" w:rsidRPr="00B34E09">
        <w:rPr>
          <w:rStyle w:val="Emphasis"/>
          <w:b/>
        </w:rPr>
        <w:t xml:space="preserve"> post ICU discharge</w:t>
      </w:r>
    </w:p>
    <w:p w14:paraId="606F0662" w14:textId="4B40B77F" w:rsidR="000E0799" w:rsidRPr="002B6F86" w:rsidRDefault="00CF0726" w:rsidP="00B34E09">
      <w:pPr>
        <w:spacing w:line="480" w:lineRule="auto"/>
        <w:ind w:firstLine="720"/>
        <w:jc w:val="both"/>
        <w:rPr>
          <w:sz w:val="24"/>
          <w:szCs w:val="24"/>
        </w:rPr>
      </w:pPr>
      <w:r w:rsidRPr="002B6F86">
        <w:rPr>
          <w:sz w:val="24"/>
          <w:szCs w:val="24"/>
        </w:rPr>
        <w:t xml:space="preserve">To assess whether consistent associations were also observed when patient symptoms were used in place of </w:t>
      </w:r>
      <w:proofErr w:type="spellStart"/>
      <w:r w:rsidRPr="002B6F86">
        <w:rPr>
          <w:sz w:val="24"/>
          <w:szCs w:val="24"/>
        </w:rPr>
        <w:t>HRQoL</w:t>
      </w:r>
      <w:proofErr w:type="spellEnd"/>
      <w:r w:rsidRPr="002B6F86">
        <w:rPr>
          <w:sz w:val="24"/>
          <w:szCs w:val="24"/>
        </w:rPr>
        <w:t>, w</w:t>
      </w:r>
      <w:r w:rsidR="000E0799" w:rsidRPr="002B6F86">
        <w:rPr>
          <w:sz w:val="24"/>
          <w:szCs w:val="24"/>
        </w:rPr>
        <w:t>e repeated the regression analysis for each of the 5 patient-reporte</w:t>
      </w:r>
      <w:r w:rsidR="00235F72" w:rsidRPr="002B6F86">
        <w:rPr>
          <w:sz w:val="24"/>
          <w:szCs w:val="24"/>
        </w:rPr>
        <w:t>d</w:t>
      </w:r>
      <w:r w:rsidR="000E0799" w:rsidRPr="002B6F86">
        <w:rPr>
          <w:sz w:val="24"/>
          <w:szCs w:val="24"/>
        </w:rPr>
        <w:t xml:space="preserve"> symptoms </w:t>
      </w:r>
      <w:r w:rsidRPr="002B6F86">
        <w:rPr>
          <w:sz w:val="24"/>
          <w:szCs w:val="24"/>
        </w:rPr>
        <w:t xml:space="preserve">(appetite, fatigue, pain, joint stiffness, and breathlessness) </w:t>
      </w:r>
      <w:r w:rsidR="000E0799" w:rsidRPr="002B6F86">
        <w:rPr>
          <w:sz w:val="24"/>
          <w:szCs w:val="24"/>
        </w:rPr>
        <w:t>at 12 months.</w:t>
      </w:r>
    </w:p>
    <w:p w14:paraId="512AF119" w14:textId="77777777" w:rsidR="00235F72" w:rsidRPr="002B6F86" w:rsidRDefault="00235F72">
      <w:pPr>
        <w:spacing w:line="480" w:lineRule="auto"/>
        <w:jc w:val="both"/>
        <w:rPr>
          <w:b/>
          <w:i/>
          <w:sz w:val="24"/>
          <w:szCs w:val="24"/>
        </w:rPr>
      </w:pPr>
      <w:r w:rsidRPr="002B6F86">
        <w:rPr>
          <w:b/>
          <w:i/>
          <w:sz w:val="24"/>
          <w:szCs w:val="24"/>
        </w:rPr>
        <w:t>Missing data</w:t>
      </w:r>
    </w:p>
    <w:p w14:paraId="47712F1A" w14:textId="5641DE51" w:rsidR="00A328F9" w:rsidRPr="002B6F86" w:rsidRDefault="00B507C0" w:rsidP="00B34E09">
      <w:pPr>
        <w:spacing w:line="480" w:lineRule="auto"/>
        <w:ind w:firstLine="720"/>
        <w:jc w:val="both"/>
        <w:rPr>
          <w:sz w:val="24"/>
          <w:szCs w:val="24"/>
        </w:rPr>
      </w:pPr>
      <w:r w:rsidRPr="002B6F86">
        <w:rPr>
          <w:sz w:val="24"/>
          <w:szCs w:val="24"/>
        </w:rPr>
        <w:t xml:space="preserve">We undertook </w:t>
      </w:r>
      <w:r w:rsidR="00A328F9" w:rsidRPr="002B6F86">
        <w:rPr>
          <w:sz w:val="24"/>
          <w:szCs w:val="24"/>
        </w:rPr>
        <w:t xml:space="preserve">a complete case analysis.  To </w:t>
      </w:r>
      <w:r w:rsidR="002356C4" w:rsidRPr="002B6F86">
        <w:rPr>
          <w:sz w:val="24"/>
          <w:szCs w:val="24"/>
        </w:rPr>
        <w:t xml:space="preserve">assess </w:t>
      </w:r>
      <w:r w:rsidRPr="002B6F86">
        <w:rPr>
          <w:sz w:val="24"/>
          <w:szCs w:val="24"/>
        </w:rPr>
        <w:t xml:space="preserve">whether cases with </w:t>
      </w:r>
      <w:r w:rsidR="0058257A" w:rsidRPr="002B6F86">
        <w:rPr>
          <w:sz w:val="24"/>
          <w:szCs w:val="24"/>
        </w:rPr>
        <w:t xml:space="preserve">missing data </w:t>
      </w:r>
      <w:r w:rsidRPr="002B6F86">
        <w:rPr>
          <w:sz w:val="24"/>
          <w:szCs w:val="24"/>
        </w:rPr>
        <w:t>were likely to be different from those included</w:t>
      </w:r>
      <w:r w:rsidR="00656FB5" w:rsidRPr="002B6F86">
        <w:rPr>
          <w:sz w:val="24"/>
          <w:szCs w:val="24"/>
        </w:rPr>
        <w:t xml:space="preserve">, </w:t>
      </w:r>
      <w:r w:rsidR="001E687A" w:rsidRPr="002B6F86">
        <w:rPr>
          <w:sz w:val="24"/>
          <w:szCs w:val="24"/>
        </w:rPr>
        <w:t>baseline characteristics were compared between missing and included cases</w:t>
      </w:r>
      <w:r w:rsidR="00FF3A69" w:rsidRPr="002B6F86">
        <w:rPr>
          <w:sz w:val="24"/>
          <w:szCs w:val="24"/>
        </w:rPr>
        <w:t xml:space="preserve">. </w:t>
      </w:r>
    </w:p>
    <w:p w14:paraId="7812F9D0" w14:textId="77777777" w:rsidR="00315201" w:rsidRPr="002B6F86" w:rsidRDefault="00315201">
      <w:pPr>
        <w:spacing w:line="480" w:lineRule="auto"/>
        <w:jc w:val="both"/>
        <w:rPr>
          <w:sz w:val="24"/>
          <w:szCs w:val="24"/>
        </w:rPr>
      </w:pPr>
    </w:p>
    <w:p w14:paraId="64426DFD" w14:textId="77777777" w:rsidR="00235F72" w:rsidRPr="002B6F86" w:rsidRDefault="00235F72" w:rsidP="00B34E09">
      <w:pPr>
        <w:spacing w:after="0" w:line="480" w:lineRule="auto"/>
        <w:rPr>
          <w:b/>
          <w:sz w:val="24"/>
          <w:szCs w:val="24"/>
        </w:rPr>
      </w:pPr>
      <w:r w:rsidRPr="002B6F86">
        <w:rPr>
          <w:b/>
          <w:sz w:val="24"/>
          <w:szCs w:val="24"/>
        </w:rPr>
        <w:br w:type="page"/>
      </w:r>
    </w:p>
    <w:p w14:paraId="575FEFA9" w14:textId="2101090F" w:rsidR="0069744F" w:rsidRPr="006F1F44" w:rsidRDefault="009C7AF6" w:rsidP="00B34E09">
      <w:pPr>
        <w:spacing w:line="480" w:lineRule="auto"/>
        <w:rPr>
          <w:b/>
          <w:sz w:val="24"/>
          <w:szCs w:val="24"/>
        </w:rPr>
      </w:pPr>
      <w:r w:rsidRPr="002B6F86">
        <w:rPr>
          <w:b/>
          <w:sz w:val="24"/>
          <w:szCs w:val="24"/>
        </w:rPr>
        <w:lastRenderedPageBreak/>
        <w:t>RESULTS</w:t>
      </w:r>
    </w:p>
    <w:p w14:paraId="35373A5C" w14:textId="3071CC09" w:rsidR="0069744F" w:rsidRPr="00B34E09" w:rsidRDefault="007C5D8D" w:rsidP="00B34E09">
      <w:pPr>
        <w:spacing w:line="480" w:lineRule="auto"/>
        <w:ind w:firstLine="720"/>
        <w:jc w:val="both"/>
        <w:rPr>
          <w:rStyle w:val="Emphasis"/>
          <w:sz w:val="24"/>
          <w:szCs w:val="24"/>
        </w:rPr>
      </w:pPr>
      <w:r w:rsidRPr="002B6F86">
        <w:rPr>
          <w:sz w:val="24"/>
          <w:szCs w:val="24"/>
        </w:rPr>
        <w:t xml:space="preserve">Of the 240 patients </w:t>
      </w:r>
      <w:r w:rsidR="006F773C" w:rsidRPr="002B6F86">
        <w:rPr>
          <w:sz w:val="24"/>
          <w:szCs w:val="24"/>
        </w:rPr>
        <w:t>e</w:t>
      </w:r>
      <w:r w:rsidR="00A01FAB" w:rsidRPr="002B6F86">
        <w:rPr>
          <w:sz w:val="24"/>
          <w:szCs w:val="24"/>
        </w:rPr>
        <w:t>n</w:t>
      </w:r>
      <w:r w:rsidR="006F773C" w:rsidRPr="002B6F86">
        <w:rPr>
          <w:sz w:val="24"/>
          <w:szCs w:val="24"/>
        </w:rPr>
        <w:t>rolled in</w:t>
      </w:r>
      <w:r w:rsidRPr="002B6F86">
        <w:rPr>
          <w:sz w:val="24"/>
          <w:szCs w:val="24"/>
        </w:rPr>
        <w:t xml:space="preserve"> the RECOVER study</w:t>
      </w:r>
      <w:r w:rsidR="006F773C" w:rsidRPr="002B6F86">
        <w:rPr>
          <w:sz w:val="24"/>
          <w:szCs w:val="24"/>
        </w:rPr>
        <w:t>,</w:t>
      </w:r>
      <w:r w:rsidR="00C05993" w:rsidRPr="002B6F86">
        <w:rPr>
          <w:sz w:val="24"/>
          <w:szCs w:val="24"/>
        </w:rPr>
        <w:t xml:space="preserve"> </w:t>
      </w:r>
      <w:r w:rsidR="005D7104" w:rsidRPr="002B6F86">
        <w:rPr>
          <w:sz w:val="24"/>
          <w:szCs w:val="24"/>
        </w:rPr>
        <w:t>228, 220, and 218 patients were alive at 3, 6, and 12 months respectively</w:t>
      </w:r>
      <w:r w:rsidR="004C4704" w:rsidRPr="002B6F86">
        <w:rPr>
          <w:sz w:val="24"/>
          <w:szCs w:val="24"/>
        </w:rPr>
        <w:t xml:space="preserve"> (</w:t>
      </w:r>
      <w:r w:rsidR="00515355" w:rsidRPr="002B6F86">
        <w:rPr>
          <w:sz w:val="24"/>
          <w:szCs w:val="24"/>
        </w:rPr>
        <w:t xml:space="preserve">study flow diagram in </w:t>
      </w:r>
      <w:r w:rsidR="004C4704" w:rsidRPr="002B6F86">
        <w:rPr>
          <w:sz w:val="24"/>
          <w:szCs w:val="24"/>
        </w:rPr>
        <w:t xml:space="preserve">figure </w:t>
      </w:r>
      <w:r w:rsidR="0046163F" w:rsidRPr="002B6F86">
        <w:rPr>
          <w:sz w:val="24"/>
          <w:szCs w:val="24"/>
        </w:rPr>
        <w:t>E</w:t>
      </w:r>
      <w:r w:rsidR="004C4704" w:rsidRPr="002B6F86">
        <w:rPr>
          <w:sz w:val="24"/>
          <w:szCs w:val="24"/>
        </w:rPr>
        <w:t>1</w:t>
      </w:r>
      <w:r w:rsidR="0046163F" w:rsidRPr="002B6F86">
        <w:rPr>
          <w:sz w:val="24"/>
          <w:szCs w:val="24"/>
        </w:rPr>
        <w:t xml:space="preserve"> in the electronic supplement</w:t>
      </w:r>
      <w:r w:rsidR="004C4704" w:rsidRPr="002B6F86">
        <w:rPr>
          <w:sz w:val="24"/>
          <w:szCs w:val="24"/>
        </w:rPr>
        <w:t>)</w:t>
      </w:r>
      <w:r w:rsidR="00C05993" w:rsidRPr="002B6F86">
        <w:rPr>
          <w:sz w:val="24"/>
          <w:szCs w:val="24"/>
        </w:rPr>
        <w:t xml:space="preserve"> and </w:t>
      </w:r>
      <w:proofErr w:type="spellStart"/>
      <w:r w:rsidR="00C05993" w:rsidRPr="002B6F86">
        <w:rPr>
          <w:sz w:val="24"/>
          <w:szCs w:val="24"/>
        </w:rPr>
        <w:t>HRQoL</w:t>
      </w:r>
      <w:proofErr w:type="spellEnd"/>
      <w:r w:rsidR="005D7104" w:rsidRPr="002B6F86">
        <w:rPr>
          <w:sz w:val="24"/>
          <w:szCs w:val="24"/>
        </w:rPr>
        <w:t xml:space="preserve"> data was available for </w:t>
      </w:r>
      <w:r w:rsidR="007F7F86" w:rsidRPr="002B6F86">
        <w:rPr>
          <w:sz w:val="24"/>
          <w:szCs w:val="24"/>
        </w:rPr>
        <w:t xml:space="preserve">197/228 (86%), 165/220 (75%) and 155/218 (71%) of </w:t>
      </w:r>
      <w:r w:rsidR="001318DB" w:rsidRPr="002B6F86">
        <w:rPr>
          <w:sz w:val="24"/>
          <w:szCs w:val="24"/>
        </w:rPr>
        <w:t>these survivors</w:t>
      </w:r>
      <w:r w:rsidR="004C4704" w:rsidRPr="002B6F86">
        <w:rPr>
          <w:sz w:val="24"/>
          <w:szCs w:val="24"/>
        </w:rPr>
        <w:t xml:space="preserve">.  Baseline characteristics are shown </w:t>
      </w:r>
      <w:r w:rsidR="00E05F54" w:rsidRPr="002B6F86">
        <w:rPr>
          <w:sz w:val="24"/>
          <w:szCs w:val="24"/>
        </w:rPr>
        <w:t xml:space="preserve">in </w:t>
      </w:r>
      <w:r w:rsidR="004C4704" w:rsidRPr="002B6F86">
        <w:rPr>
          <w:sz w:val="24"/>
          <w:szCs w:val="24"/>
        </w:rPr>
        <w:t xml:space="preserve">table 1.   </w:t>
      </w:r>
      <w:r w:rsidR="00C3789E" w:rsidRPr="00B34E09">
        <w:rPr>
          <w:sz w:val="24"/>
          <w:szCs w:val="24"/>
        </w:rPr>
        <w:t xml:space="preserve"> </w:t>
      </w:r>
      <w:r w:rsidR="00515355" w:rsidRPr="002B6F86">
        <w:rPr>
          <w:sz w:val="24"/>
          <w:szCs w:val="24"/>
        </w:rPr>
        <w:t>Patients</w:t>
      </w:r>
      <w:r w:rsidR="00C3789E" w:rsidRPr="00B34E09">
        <w:rPr>
          <w:sz w:val="24"/>
          <w:szCs w:val="24"/>
        </w:rPr>
        <w:t xml:space="preserve"> with missing data were similar to included patients in respect of pre-existing heath, baseline demographics, and severity of illness</w:t>
      </w:r>
      <w:r w:rsidR="00C3789E" w:rsidRPr="00B34E09" w:rsidDel="001A11A1">
        <w:rPr>
          <w:sz w:val="24"/>
          <w:szCs w:val="24"/>
        </w:rPr>
        <w:t xml:space="preserve"> </w:t>
      </w:r>
      <w:r w:rsidR="00C3789E" w:rsidRPr="00B34E09">
        <w:rPr>
          <w:sz w:val="24"/>
          <w:szCs w:val="24"/>
        </w:rPr>
        <w:t>(see online electronic supplement; table E</w:t>
      </w:r>
      <w:r w:rsidR="002C7834">
        <w:rPr>
          <w:sz w:val="24"/>
          <w:szCs w:val="24"/>
        </w:rPr>
        <w:t>8</w:t>
      </w:r>
      <w:r w:rsidR="00C3789E" w:rsidRPr="00B34E09">
        <w:rPr>
          <w:sz w:val="24"/>
          <w:szCs w:val="24"/>
        </w:rPr>
        <w:t xml:space="preserve">).  </w:t>
      </w:r>
    </w:p>
    <w:p w14:paraId="5D44D89F" w14:textId="4BBDD6F9" w:rsidR="0069744F" w:rsidRPr="00B34E09" w:rsidRDefault="008F47EA" w:rsidP="00B34E09">
      <w:pPr>
        <w:spacing w:line="480" w:lineRule="auto"/>
        <w:rPr>
          <w:b/>
          <w:i/>
          <w:iCs/>
          <w:sz w:val="24"/>
          <w:szCs w:val="24"/>
        </w:rPr>
      </w:pPr>
      <w:r w:rsidRPr="00B34E09">
        <w:rPr>
          <w:rStyle w:val="Emphasis"/>
          <w:b/>
          <w:sz w:val="24"/>
          <w:szCs w:val="24"/>
        </w:rPr>
        <w:t>C</w:t>
      </w:r>
      <w:r w:rsidR="00235F72" w:rsidRPr="00B34E09">
        <w:rPr>
          <w:rStyle w:val="Emphasis"/>
          <w:b/>
        </w:rPr>
        <w:t>ohort level trajectories of PCS and MCS between 3 months and 12 months after ICU discharge</w:t>
      </w:r>
    </w:p>
    <w:p w14:paraId="4BBACF95" w14:textId="66906AAE" w:rsidR="006E0C55" w:rsidRPr="00B34E09" w:rsidRDefault="002B6F86">
      <w:pPr>
        <w:pStyle w:val="BodyText2"/>
        <w:spacing w:line="480" w:lineRule="auto"/>
        <w:jc w:val="both"/>
        <w:rPr>
          <w:rFonts w:ascii="Calibri" w:hAnsi="Calibri"/>
          <w:sz w:val="24"/>
        </w:rPr>
      </w:pPr>
      <w:r w:rsidRPr="00B34E09">
        <w:rPr>
          <w:rFonts w:ascii="Calibri" w:hAnsi="Calibri"/>
          <w:b/>
          <w:sz w:val="24"/>
        </w:rPr>
        <w:tab/>
      </w:r>
      <w:r w:rsidR="002B33AD" w:rsidRPr="00B34E09">
        <w:rPr>
          <w:rFonts w:ascii="Calibri" w:hAnsi="Calibri"/>
          <w:sz w:val="24"/>
        </w:rPr>
        <w:t xml:space="preserve">Individual patient plots showed marked heterogeneity over time for both </w:t>
      </w:r>
      <w:proofErr w:type="spellStart"/>
      <w:r w:rsidR="002B33AD" w:rsidRPr="00B34E09">
        <w:rPr>
          <w:rFonts w:ascii="Calibri" w:hAnsi="Calibri"/>
          <w:sz w:val="24"/>
        </w:rPr>
        <w:t>HRQoL</w:t>
      </w:r>
      <w:proofErr w:type="spellEnd"/>
      <w:r w:rsidR="002B33AD" w:rsidRPr="00B34E09">
        <w:rPr>
          <w:rFonts w:ascii="Calibri" w:hAnsi="Calibri"/>
          <w:sz w:val="24"/>
        </w:rPr>
        <w:t xml:space="preserve"> components (see figures E2-E3 in the electronic supplement).   At cohort level, mean </w:t>
      </w:r>
      <w:r w:rsidR="009D3C89" w:rsidRPr="00B34E09">
        <w:rPr>
          <w:rFonts w:ascii="Calibri" w:hAnsi="Calibri"/>
          <w:sz w:val="24"/>
        </w:rPr>
        <w:t xml:space="preserve">PCS was reduced compared to population norms (where population norm is 50 on each scale) at </w:t>
      </w:r>
      <w:r w:rsidR="00A01FAB" w:rsidRPr="00B34E09">
        <w:rPr>
          <w:rFonts w:ascii="Calibri" w:hAnsi="Calibri"/>
          <w:sz w:val="24"/>
        </w:rPr>
        <w:t>all</w:t>
      </w:r>
      <w:r w:rsidR="009D3C89" w:rsidRPr="00B34E09">
        <w:rPr>
          <w:rFonts w:ascii="Calibri" w:hAnsi="Calibri"/>
          <w:sz w:val="24"/>
        </w:rPr>
        <w:t xml:space="preserve"> time point</w:t>
      </w:r>
      <w:r w:rsidR="00A01FAB" w:rsidRPr="00B34E09">
        <w:rPr>
          <w:rFonts w:ascii="Calibri" w:hAnsi="Calibri"/>
          <w:sz w:val="24"/>
        </w:rPr>
        <w:t>s</w:t>
      </w:r>
      <w:r w:rsidR="009D3C89" w:rsidRPr="00B34E09">
        <w:rPr>
          <w:rFonts w:ascii="Calibri" w:hAnsi="Calibri"/>
          <w:sz w:val="24"/>
        </w:rPr>
        <w:t xml:space="preserve"> (Figure 1(A) and table 2)</w:t>
      </w:r>
      <w:r w:rsidR="002B33AD" w:rsidRPr="00B34E09">
        <w:rPr>
          <w:rFonts w:ascii="Calibri" w:hAnsi="Calibri"/>
          <w:sz w:val="24"/>
        </w:rPr>
        <w:t>.</w:t>
      </w:r>
      <w:r w:rsidR="009D3C89" w:rsidRPr="00B34E09">
        <w:rPr>
          <w:rFonts w:ascii="Calibri" w:hAnsi="Calibri"/>
          <w:sz w:val="24"/>
        </w:rPr>
        <w:t xml:space="preserve"> </w:t>
      </w:r>
      <w:r w:rsidR="002B33AD" w:rsidRPr="00B34E09">
        <w:rPr>
          <w:rFonts w:ascii="Calibri" w:hAnsi="Calibri"/>
          <w:sz w:val="24"/>
        </w:rPr>
        <w:t xml:space="preserve">The </w:t>
      </w:r>
      <w:r w:rsidR="009D3C89" w:rsidRPr="00B34E09">
        <w:rPr>
          <w:rFonts w:ascii="Calibri" w:hAnsi="Calibri"/>
          <w:sz w:val="24"/>
        </w:rPr>
        <w:t>PCS increased by a statistically significant but clinically small amount between 3 months and 12 months</w:t>
      </w:r>
      <w:r w:rsidR="002B33AD" w:rsidRPr="00B34E09">
        <w:rPr>
          <w:rFonts w:ascii="Calibri" w:hAnsi="Calibri"/>
          <w:sz w:val="24"/>
        </w:rPr>
        <w:t>, with an overall change less than the pre-defined MCID of 5</w:t>
      </w:r>
      <w:r w:rsidR="009D3C89" w:rsidRPr="00B34E09">
        <w:rPr>
          <w:rFonts w:ascii="Calibri" w:hAnsi="Calibri"/>
          <w:sz w:val="24"/>
        </w:rPr>
        <w:t xml:space="preserve"> (mean difference (95% CI):  2.3 (0.6 to 3.9); p=0.006). MCS was </w:t>
      </w:r>
      <w:r w:rsidR="002B33AD" w:rsidRPr="00B34E09">
        <w:rPr>
          <w:rFonts w:ascii="Calibri" w:hAnsi="Calibri"/>
          <w:sz w:val="24"/>
        </w:rPr>
        <w:t xml:space="preserve">also </w:t>
      </w:r>
      <w:r w:rsidR="009D3C89" w:rsidRPr="00B34E09">
        <w:rPr>
          <w:rFonts w:ascii="Calibri" w:hAnsi="Calibri"/>
          <w:sz w:val="24"/>
        </w:rPr>
        <w:t xml:space="preserve">reduced compared to population norms but higher than </w:t>
      </w:r>
      <w:r w:rsidR="002B33AD" w:rsidRPr="00B34E09">
        <w:rPr>
          <w:rFonts w:ascii="Calibri" w:hAnsi="Calibri"/>
          <w:sz w:val="24"/>
        </w:rPr>
        <w:t xml:space="preserve">the </w:t>
      </w:r>
      <w:r w:rsidR="009D3C89" w:rsidRPr="00B34E09">
        <w:rPr>
          <w:rFonts w:ascii="Calibri" w:hAnsi="Calibri"/>
          <w:sz w:val="24"/>
        </w:rPr>
        <w:t>PCS at each time point</w:t>
      </w:r>
      <w:r w:rsidR="002B33AD" w:rsidRPr="00B34E09">
        <w:rPr>
          <w:rFonts w:ascii="Calibri" w:hAnsi="Calibri"/>
          <w:sz w:val="24"/>
        </w:rPr>
        <w:t>. Mean MCS</w:t>
      </w:r>
      <w:r w:rsidR="009D3C89" w:rsidRPr="00B34E09">
        <w:rPr>
          <w:rFonts w:ascii="Calibri" w:hAnsi="Calibri"/>
          <w:sz w:val="24"/>
        </w:rPr>
        <w:t xml:space="preserve"> did not change </w:t>
      </w:r>
      <w:r w:rsidR="002B33AD" w:rsidRPr="00B34E09">
        <w:rPr>
          <w:rFonts w:ascii="Calibri" w:hAnsi="Calibri"/>
          <w:sz w:val="24"/>
        </w:rPr>
        <w:t>between 3 and 12 months</w:t>
      </w:r>
      <w:r w:rsidR="0046163F" w:rsidRPr="00B34E09">
        <w:rPr>
          <w:rFonts w:ascii="Calibri" w:hAnsi="Calibri"/>
          <w:sz w:val="24"/>
        </w:rPr>
        <w:t xml:space="preserve"> (Figure 1(B) and table 2</w:t>
      </w:r>
      <w:r w:rsidR="009D3C89" w:rsidRPr="00B34E09">
        <w:rPr>
          <w:rFonts w:ascii="Calibri" w:hAnsi="Calibri"/>
          <w:sz w:val="24"/>
        </w:rPr>
        <w:t xml:space="preserve">) (mean difference (95% CI): 0.2 (-1.8 to 2.1); p=0.87). </w:t>
      </w:r>
      <w:r w:rsidR="002B33AD" w:rsidRPr="00B34E09">
        <w:rPr>
          <w:rFonts w:ascii="Calibri" w:hAnsi="Calibri"/>
          <w:sz w:val="24"/>
        </w:rPr>
        <w:t>These cohort level data suggested plateauing of both measures by 3 months, with little subsequent change.</w:t>
      </w:r>
    </w:p>
    <w:p w14:paraId="6CD52D77" w14:textId="00BA55B3" w:rsidR="00AB29D1" w:rsidRPr="00B34E09" w:rsidRDefault="008F47EA">
      <w:pPr>
        <w:spacing w:line="480" w:lineRule="auto"/>
        <w:jc w:val="both"/>
        <w:rPr>
          <w:b/>
          <w:i/>
          <w:sz w:val="24"/>
          <w:szCs w:val="24"/>
        </w:rPr>
      </w:pPr>
      <w:r w:rsidRPr="002B6F86">
        <w:rPr>
          <w:b/>
          <w:i/>
          <w:sz w:val="24"/>
          <w:szCs w:val="24"/>
        </w:rPr>
        <w:t>P</w:t>
      </w:r>
      <w:r w:rsidR="00AB29D1" w:rsidRPr="00B34E09">
        <w:rPr>
          <w:b/>
          <w:i/>
          <w:sz w:val="24"/>
          <w:szCs w:val="24"/>
        </w:rPr>
        <w:t>roportions of patients that showed no clinically important improvement of PCS and MCS between 3 and 12 months</w:t>
      </w:r>
    </w:p>
    <w:p w14:paraId="29FF5CAC" w14:textId="150749A9" w:rsidR="0046163F" w:rsidRPr="00B34E09" w:rsidRDefault="0046163F">
      <w:pPr>
        <w:pStyle w:val="BodyText2"/>
        <w:spacing w:line="480" w:lineRule="auto"/>
        <w:jc w:val="both"/>
        <w:rPr>
          <w:rFonts w:ascii="Calibri" w:hAnsi="Calibri"/>
          <w:sz w:val="24"/>
        </w:rPr>
      </w:pPr>
    </w:p>
    <w:p w14:paraId="0FA79FF8" w14:textId="77777777" w:rsidR="007544AC" w:rsidRPr="00B34E09" w:rsidRDefault="007544AC">
      <w:pPr>
        <w:pStyle w:val="BodyText2"/>
        <w:spacing w:line="480" w:lineRule="auto"/>
        <w:jc w:val="both"/>
        <w:rPr>
          <w:rFonts w:ascii="Calibri" w:hAnsi="Calibri"/>
          <w:sz w:val="24"/>
        </w:rPr>
      </w:pPr>
    </w:p>
    <w:p w14:paraId="56D29871" w14:textId="381FE58F" w:rsidR="00B353E7" w:rsidRPr="00B34E09" w:rsidRDefault="002B6F86">
      <w:pPr>
        <w:pStyle w:val="BodyText2"/>
        <w:spacing w:line="480" w:lineRule="auto"/>
        <w:jc w:val="both"/>
        <w:rPr>
          <w:rStyle w:val="Emphasis"/>
          <w:rFonts w:ascii="Calibri" w:hAnsi="Calibri"/>
          <w:i w:val="0"/>
          <w:iCs w:val="0"/>
        </w:rPr>
      </w:pPr>
      <w:r w:rsidRPr="00B34E09">
        <w:rPr>
          <w:rFonts w:ascii="Calibri" w:hAnsi="Calibri"/>
          <w:sz w:val="24"/>
        </w:rPr>
        <w:lastRenderedPageBreak/>
        <w:tab/>
      </w:r>
      <w:r w:rsidR="00AB29D1" w:rsidRPr="00B34E09">
        <w:rPr>
          <w:rFonts w:ascii="Calibri" w:hAnsi="Calibri"/>
          <w:sz w:val="24"/>
        </w:rPr>
        <w:t xml:space="preserve">147 patients had complete PCS and MCS data at 3 and 12 months.  </w:t>
      </w:r>
      <w:r w:rsidR="009D3C89" w:rsidRPr="00B34E09">
        <w:rPr>
          <w:rFonts w:ascii="Calibri" w:hAnsi="Calibri"/>
          <w:sz w:val="24"/>
        </w:rPr>
        <w:t xml:space="preserve"> </w:t>
      </w:r>
      <w:r w:rsidR="00AB29D1" w:rsidRPr="00B34E09">
        <w:rPr>
          <w:rFonts w:ascii="Calibri" w:hAnsi="Calibri"/>
          <w:sz w:val="24"/>
        </w:rPr>
        <w:t>Ninety-four patients (63%) had no clinically significant improvement in PCS between 3 and 12 months (table E1 (electronic supplement) and figure 1 (</w:t>
      </w:r>
      <w:r w:rsidR="007B4222" w:rsidRPr="00B34E09">
        <w:rPr>
          <w:rFonts w:ascii="Calibri" w:hAnsi="Calibri"/>
          <w:sz w:val="24"/>
        </w:rPr>
        <w:t>Panel C</w:t>
      </w:r>
      <w:r w:rsidR="00AB29D1" w:rsidRPr="00B34E09">
        <w:rPr>
          <w:rFonts w:ascii="Calibri" w:hAnsi="Calibri"/>
          <w:sz w:val="24"/>
        </w:rPr>
        <w:t>)).  One-hundred and one patients (69%) had no clinically significant improvement in MCS</w:t>
      </w:r>
      <w:r w:rsidR="007B4222" w:rsidRPr="00B34E09">
        <w:rPr>
          <w:rFonts w:ascii="Calibri" w:hAnsi="Calibri"/>
          <w:sz w:val="24"/>
        </w:rPr>
        <w:t xml:space="preserve"> (figure 1 (Panel D))</w:t>
      </w:r>
      <w:r w:rsidR="00AB29D1" w:rsidRPr="00B34E09">
        <w:rPr>
          <w:rFonts w:ascii="Calibri" w:hAnsi="Calibri"/>
          <w:sz w:val="24"/>
        </w:rPr>
        <w:t xml:space="preserve">. </w:t>
      </w:r>
      <w:r w:rsidR="007B4222" w:rsidRPr="00B34E09">
        <w:rPr>
          <w:rFonts w:ascii="Calibri" w:hAnsi="Calibri"/>
          <w:sz w:val="24"/>
        </w:rPr>
        <w:t xml:space="preserve">In the sensitivity analysis, 50%, 58%, </w:t>
      </w:r>
      <w:r w:rsidR="00D33509" w:rsidRPr="00B34E09">
        <w:rPr>
          <w:rFonts w:ascii="Calibri" w:hAnsi="Calibri"/>
          <w:sz w:val="24"/>
        </w:rPr>
        <w:t>70% and 77% of patients in quartiles 1</w:t>
      </w:r>
      <w:r w:rsidR="008F47EA" w:rsidRPr="00B34E09">
        <w:rPr>
          <w:rFonts w:ascii="Calibri" w:hAnsi="Calibri"/>
          <w:sz w:val="24"/>
        </w:rPr>
        <w:t xml:space="preserve"> (lowest </w:t>
      </w:r>
      <w:proofErr w:type="spellStart"/>
      <w:r w:rsidR="008F47EA" w:rsidRPr="00B34E09">
        <w:rPr>
          <w:rFonts w:ascii="Calibri" w:hAnsi="Calibri"/>
          <w:sz w:val="24"/>
        </w:rPr>
        <w:t>HRQoL</w:t>
      </w:r>
      <w:proofErr w:type="spellEnd"/>
      <w:r w:rsidR="008F47EA" w:rsidRPr="00B34E09">
        <w:rPr>
          <w:rFonts w:ascii="Calibri" w:hAnsi="Calibri"/>
          <w:sz w:val="24"/>
        </w:rPr>
        <w:t>)</w:t>
      </w:r>
      <w:r w:rsidR="00D33509" w:rsidRPr="00B34E09">
        <w:rPr>
          <w:rFonts w:ascii="Calibri" w:hAnsi="Calibri"/>
          <w:sz w:val="24"/>
        </w:rPr>
        <w:t>, 2, 3, and 4 of PCS at baseline had no clinically important improvement</w:t>
      </w:r>
      <w:r w:rsidR="008F47EA" w:rsidRPr="00B34E09">
        <w:rPr>
          <w:rFonts w:ascii="Calibri" w:hAnsi="Calibri"/>
          <w:sz w:val="24"/>
        </w:rPr>
        <w:t>;</w:t>
      </w:r>
      <w:r w:rsidR="00D33509" w:rsidRPr="00B34E09">
        <w:rPr>
          <w:rFonts w:ascii="Calibri" w:hAnsi="Calibri"/>
          <w:sz w:val="24"/>
        </w:rPr>
        <w:t xml:space="preserve"> 44%, 66%, 65% and 97</w:t>
      </w:r>
      <w:proofErr w:type="gramStart"/>
      <w:r w:rsidR="00D33509" w:rsidRPr="00B34E09">
        <w:rPr>
          <w:rFonts w:ascii="Calibri" w:hAnsi="Calibri"/>
          <w:sz w:val="24"/>
        </w:rPr>
        <w:t>%  of</w:t>
      </w:r>
      <w:proofErr w:type="gramEnd"/>
      <w:r w:rsidR="00D33509" w:rsidRPr="00B34E09">
        <w:rPr>
          <w:rFonts w:ascii="Calibri" w:hAnsi="Calibri"/>
          <w:sz w:val="24"/>
        </w:rPr>
        <w:t xml:space="preserve"> patients in quartiles 1, 2, 3, and 4 of MCS at baseline had no clinically important improvement.</w:t>
      </w:r>
    </w:p>
    <w:p w14:paraId="5EE05982" w14:textId="082000E1" w:rsidR="0069744F" w:rsidRPr="00B34E09" w:rsidRDefault="008F47EA" w:rsidP="00B34E09">
      <w:pPr>
        <w:spacing w:line="480" w:lineRule="auto"/>
        <w:rPr>
          <w:b/>
          <w:i/>
          <w:iCs/>
          <w:sz w:val="24"/>
          <w:szCs w:val="24"/>
        </w:rPr>
      </w:pPr>
      <w:r w:rsidRPr="00B34E09">
        <w:rPr>
          <w:rStyle w:val="Emphasis"/>
          <w:b/>
          <w:sz w:val="24"/>
          <w:szCs w:val="24"/>
        </w:rPr>
        <w:t>R</w:t>
      </w:r>
      <w:r w:rsidR="00D33509" w:rsidRPr="00B34E09">
        <w:rPr>
          <w:rStyle w:val="Emphasis"/>
          <w:b/>
        </w:rPr>
        <w:t xml:space="preserve">isk factors most strongly associated with </w:t>
      </w:r>
      <w:proofErr w:type="spellStart"/>
      <w:r w:rsidR="00D33509" w:rsidRPr="00B34E09">
        <w:rPr>
          <w:rStyle w:val="Emphasis"/>
          <w:b/>
        </w:rPr>
        <w:t>HRQoL</w:t>
      </w:r>
      <w:proofErr w:type="spellEnd"/>
      <w:r w:rsidR="00D33509" w:rsidRPr="00B34E09">
        <w:rPr>
          <w:rStyle w:val="Emphasis"/>
          <w:b/>
        </w:rPr>
        <w:t xml:space="preserve"> at 6 and 12 months after ICU discharge</w:t>
      </w:r>
    </w:p>
    <w:p w14:paraId="0BD9CAB7" w14:textId="3E586877" w:rsidR="00F73BE9" w:rsidRPr="002B6F86" w:rsidRDefault="002B6F86" w:rsidP="002C7834">
      <w:pPr>
        <w:spacing w:line="480" w:lineRule="auto"/>
        <w:jc w:val="both"/>
        <w:rPr>
          <w:sz w:val="24"/>
          <w:szCs w:val="24"/>
        </w:rPr>
      </w:pPr>
      <w:r w:rsidRPr="00B34E09">
        <w:rPr>
          <w:rFonts w:eastAsia="SimSun"/>
          <w:sz w:val="24"/>
          <w:szCs w:val="24"/>
          <w:lang w:eastAsia="en-GB"/>
        </w:rPr>
        <w:tab/>
      </w:r>
      <w:r w:rsidR="002C7834">
        <w:rPr>
          <w:sz w:val="24"/>
          <w:szCs w:val="24"/>
        </w:rPr>
        <w:t>Adjusted m</w:t>
      </w:r>
      <w:r w:rsidR="002C7834">
        <w:rPr>
          <w:sz w:val="24"/>
        </w:rPr>
        <w:t>odel 1 co-</w:t>
      </w:r>
      <w:proofErr w:type="spellStart"/>
      <w:r w:rsidR="002C7834">
        <w:rPr>
          <w:sz w:val="24"/>
        </w:rPr>
        <w:t>efficients</w:t>
      </w:r>
      <w:proofErr w:type="spellEnd"/>
      <w:r w:rsidR="00984AC9" w:rsidRPr="002B6F86">
        <w:rPr>
          <w:sz w:val="24"/>
          <w:szCs w:val="24"/>
        </w:rPr>
        <w:t xml:space="preserve"> </w:t>
      </w:r>
      <w:r w:rsidR="002C7834">
        <w:rPr>
          <w:sz w:val="24"/>
          <w:szCs w:val="24"/>
        </w:rPr>
        <w:t>(excluding RMI and SGA) at the 6-month time point are</w:t>
      </w:r>
      <w:r w:rsidR="002C7834" w:rsidRPr="002B6F86">
        <w:rPr>
          <w:sz w:val="24"/>
          <w:szCs w:val="24"/>
        </w:rPr>
        <w:t xml:space="preserve"> </w:t>
      </w:r>
      <w:r w:rsidR="00984AC9" w:rsidRPr="002B6F86">
        <w:rPr>
          <w:sz w:val="24"/>
          <w:szCs w:val="24"/>
        </w:rPr>
        <w:t xml:space="preserve">shown </w:t>
      </w:r>
      <w:r w:rsidR="00BC6E07" w:rsidRPr="002B6F86">
        <w:rPr>
          <w:sz w:val="24"/>
          <w:szCs w:val="24"/>
        </w:rPr>
        <w:t xml:space="preserve">in table </w:t>
      </w:r>
      <w:r w:rsidR="00E22F74" w:rsidRPr="002B6F86">
        <w:rPr>
          <w:sz w:val="24"/>
          <w:szCs w:val="24"/>
        </w:rPr>
        <w:t>3</w:t>
      </w:r>
      <w:r w:rsidR="002C7834">
        <w:rPr>
          <w:sz w:val="24"/>
          <w:szCs w:val="24"/>
        </w:rPr>
        <w:t>.  Unadjusted co-</w:t>
      </w:r>
      <w:proofErr w:type="spellStart"/>
      <w:r w:rsidR="002C7834">
        <w:rPr>
          <w:sz w:val="24"/>
          <w:szCs w:val="24"/>
        </w:rPr>
        <w:t>efficients</w:t>
      </w:r>
      <w:proofErr w:type="spellEnd"/>
      <w:r w:rsidR="002C7834">
        <w:rPr>
          <w:sz w:val="24"/>
          <w:szCs w:val="24"/>
        </w:rPr>
        <w:t xml:space="preserve"> and </w:t>
      </w:r>
      <w:proofErr w:type="spellStart"/>
      <w:r w:rsidR="002C7834">
        <w:rPr>
          <w:sz w:val="24"/>
          <w:szCs w:val="24"/>
        </w:rPr>
        <w:t>adusted</w:t>
      </w:r>
      <w:proofErr w:type="spellEnd"/>
      <w:r w:rsidR="002C7834">
        <w:rPr>
          <w:sz w:val="24"/>
          <w:szCs w:val="24"/>
        </w:rPr>
        <w:t xml:space="preserve"> model 2 co-</w:t>
      </w:r>
      <w:proofErr w:type="spellStart"/>
      <w:r w:rsidR="002C7834">
        <w:rPr>
          <w:sz w:val="24"/>
          <w:szCs w:val="24"/>
        </w:rPr>
        <w:t>efficients</w:t>
      </w:r>
      <w:proofErr w:type="spellEnd"/>
      <w:r w:rsidR="002C7834">
        <w:rPr>
          <w:sz w:val="24"/>
          <w:szCs w:val="24"/>
        </w:rPr>
        <w:t xml:space="preserve"> (including RMI and SGA) are shown in table E2 (6 months) and table E3 (12 months) in the electronic supplement. </w:t>
      </w:r>
      <w:r w:rsidR="008641F0" w:rsidRPr="002B6F86">
        <w:rPr>
          <w:sz w:val="24"/>
          <w:szCs w:val="24"/>
        </w:rPr>
        <w:t xml:space="preserve">In </w:t>
      </w:r>
      <w:r w:rsidR="003C2C2F" w:rsidRPr="002B6F86">
        <w:rPr>
          <w:sz w:val="24"/>
          <w:szCs w:val="24"/>
        </w:rPr>
        <w:t>the</w:t>
      </w:r>
      <w:r w:rsidR="008641F0" w:rsidRPr="002B6F86">
        <w:rPr>
          <w:sz w:val="24"/>
          <w:szCs w:val="24"/>
        </w:rPr>
        <w:t xml:space="preserve"> adjusted models, </w:t>
      </w:r>
      <w:r w:rsidR="0063170C" w:rsidRPr="002B6F86">
        <w:rPr>
          <w:sz w:val="24"/>
          <w:szCs w:val="24"/>
        </w:rPr>
        <w:t>a</w:t>
      </w:r>
      <w:r w:rsidR="00E160F5" w:rsidRPr="002B6F86">
        <w:rPr>
          <w:sz w:val="24"/>
          <w:szCs w:val="24"/>
        </w:rPr>
        <w:t xml:space="preserve"> </w:t>
      </w:r>
      <w:r w:rsidR="008641F0" w:rsidRPr="002B6F86">
        <w:rPr>
          <w:sz w:val="24"/>
          <w:szCs w:val="24"/>
        </w:rPr>
        <w:t xml:space="preserve">higher comorbidity count </w:t>
      </w:r>
      <w:r w:rsidR="00EF021C" w:rsidRPr="002B6F86">
        <w:rPr>
          <w:sz w:val="24"/>
          <w:szCs w:val="24"/>
        </w:rPr>
        <w:t xml:space="preserve">was </w:t>
      </w:r>
      <w:r w:rsidR="008641F0" w:rsidRPr="002B6F86">
        <w:rPr>
          <w:sz w:val="24"/>
          <w:szCs w:val="24"/>
        </w:rPr>
        <w:t>strongly</w:t>
      </w:r>
      <w:r w:rsidR="00E160F5" w:rsidRPr="002B6F86">
        <w:rPr>
          <w:sz w:val="24"/>
          <w:szCs w:val="24"/>
        </w:rPr>
        <w:t xml:space="preserve"> </w:t>
      </w:r>
      <w:r w:rsidR="00EF021C" w:rsidRPr="002B6F86">
        <w:rPr>
          <w:sz w:val="24"/>
          <w:szCs w:val="24"/>
        </w:rPr>
        <w:t>associated with</w:t>
      </w:r>
      <w:r w:rsidR="00E160F5" w:rsidRPr="002B6F86">
        <w:rPr>
          <w:sz w:val="24"/>
          <w:szCs w:val="24"/>
        </w:rPr>
        <w:t xml:space="preserve"> </w:t>
      </w:r>
      <w:r w:rsidR="00EF021C" w:rsidRPr="002B6F86">
        <w:rPr>
          <w:sz w:val="24"/>
          <w:szCs w:val="24"/>
        </w:rPr>
        <w:t xml:space="preserve">lower </w:t>
      </w:r>
      <w:r w:rsidR="00F73BE9" w:rsidRPr="002B6F86">
        <w:rPr>
          <w:sz w:val="24"/>
          <w:szCs w:val="24"/>
        </w:rPr>
        <w:t>(worse)</w:t>
      </w:r>
      <w:r w:rsidR="00EF021C" w:rsidRPr="002B6F86">
        <w:rPr>
          <w:sz w:val="24"/>
          <w:szCs w:val="24"/>
        </w:rPr>
        <w:t xml:space="preserve"> PCS and MCS at 6</w:t>
      </w:r>
      <w:r w:rsidR="003C2C2F" w:rsidRPr="002B6F86">
        <w:rPr>
          <w:sz w:val="24"/>
          <w:szCs w:val="24"/>
        </w:rPr>
        <w:t xml:space="preserve"> </w:t>
      </w:r>
      <w:r w:rsidR="00D33509" w:rsidRPr="002B6F86">
        <w:rPr>
          <w:sz w:val="24"/>
          <w:szCs w:val="24"/>
        </w:rPr>
        <w:t xml:space="preserve">and 12 </w:t>
      </w:r>
      <w:r w:rsidR="003C2C2F" w:rsidRPr="002B6F86">
        <w:rPr>
          <w:sz w:val="24"/>
          <w:szCs w:val="24"/>
        </w:rPr>
        <w:t>months</w:t>
      </w:r>
      <w:r w:rsidR="00EF021C" w:rsidRPr="002B6F86">
        <w:rPr>
          <w:sz w:val="24"/>
          <w:szCs w:val="24"/>
        </w:rPr>
        <w:t xml:space="preserve">.  </w:t>
      </w:r>
      <w:r w:rsidR="00A36743" w:rsidRPr="002B6F86">
        <w:rPr>
          <w:sz w:val="24"/>
          <w:szCs w:val="24"/>
        </w:rPr>
        <w:t>Critical</w:t>
      </w:r>
      <w:r w:rsidR="008641F0" w:rsidRPr="002B6F86">
        <w:rPr>
          <w:sz w:val="24"/>
          <w:szCs w:val="24"/>
        </w:rPr>
        <w:t xml:space="preserve"> illness related variables </w:t>
      </w:r>
      <w:r w:rsidR="00EF021C" w:rsidRPr="002B6F86">
        <w:rPr>
          <w:sz w:val="24"/>
          <w:szCs w:val="24"/>
        </w:rPr>
        <w:t>were not associated</w:t>
      </w:r>
      <w:r w:rsidR="00A36743" w:rsidRPr="002B6F86">
        <w:rPr>
          <w:sz w:val="24"/>
          <w:szCs w:val="24"/>
        </w:rPr>
        <w:t xml:space="preserve"> with either PCS or MCS</w:t>
      </w:r>
      <w:r w:rsidR="00BB0E8E" w:rsidRPr="002B6F86">
        <w:rPr>
          <w:sz w:val="24"/>
          <w:szCs w:val="24"/>
        </w:rPr>
        <w:t xml:space="preserve"> at either time point</w:t>
      </w:r>
      <w:r w:rsidR="00A36743" w:rsidRPr="002B6F86">
        <w:rPr>
          <w:sz w:val="24"/>
          <w:szCs w:val="24"/>
        </w:rPr>
        <w:t xml:space="preserve">.  Examining other patient characteristics, there was </w:t>
      </w:r>
      <w:r w:rsidR="002356C4" w:rsidRPr="002B6F86">
        <w:rPr>
          <w:sz w:val="24"/>
          <w:szCs w:val="24"/>
        </w:rPr>
        <w:t xml:space="preserve">a </w:t>
      </w:r>
      <w:r w:rsidR="00160A74" w:rsidRPr="002B6F86">
        <w:rPr>
          <w:sz w:val="24"/>
          <w:szCs w:val="24"/>
        </w:rPr>
        <w:t>strong</w:t>
      </w:r>
      <w:r w:rsidR="00A36743" w:rsidRPr="002B6F86">
        <w:rPr>
          <w:sz w:val="24"/>
          <w:szCs w:val="24"/>
        </w:rPr>
        <w:t xml:space="preserve"> </w:t>
      </w:r>
      <w:r w:rsidR="000D3799" w:rsidRPr="002B6F86">
        <w:rPr>
          <w:sz w:val="24"/>
          <w:szCs w:val="24"/>
        </w:rPr>
        <w:t>association</w:t>
      </w:r>
      <w:r w:rsidR="00A36743" w:rsidRPr="002B6F86">
        <w:rPr>
          <w:sz w:val="24"/>
          <w:szCs w:val="24"/>
        </w:rPr>
        <w:t xml:space="preserve"> obse</w:t>
      </w:r>
      <w:r w:rsidR="00F73BE9" w:rsidRPr="002B6F86">
        <w:rPr>
          <w:sz w:val="24"/>
          <w:szCs w:val="24"/>
        </w:rPr>
        <w:t>r</w:t>
      </w:r>
      <w:r w:rsidR="00A36743" w:rsidRPr="002B6F86">
        <w:rPr>
          <w:sz w:val="24"/>
          <w:szCs w:val="24"/>
        </w:rPr>
        <w:t>ved</w:t>
      </w:r>
      <w:r w:rsidR="000D3799" w:rsidRPr="002B6F86">
        <w:rPr>
          <w:sz w:val="24"/>
          <w:szCs w:val="24"/>
        </w:rPr>
        <w:t xml:space="preserve"> between </w:t>
      </w:r>
      <w:r w:rsidR="004841C7" w:rsidRPr="002B6F86">
        <w:rPr>
          <w:sz w:val="24"/>
          <w:szCs w:val="24"/>
        </w:rPr>
        <w:t xml:space="preserve">increasing </w:t>
      </w:r>
      <w:r w:rsidR="000D3799" w:rsidRPr="002B6F86">
        <w:rPr>
          <w:sz w:val="24"/>
          <w:szCs w:val="24"/>
        </w:rPr>
        <w:t>age and</w:t>
      </w:r>
      <w:r w:rsidR="00213951" w:rsidRPr="002B6F86">
        <w:rPr>
          <w:sz w:val="24"/>
          <w:szCs w:val="24"/>
        </w:rPr>
        <w:t xml:space="preserve"> higher</w:t>
      </w:r>
      <w:r w:rsidR="00596F57" w:rsidRPr="002B6F86">
        <w:rPr>
          <w:sz w:val="24"/>
          <w:szCs w:val="24"/>
        </w:rPr>
        <w:t xml:space="preserve"> </w:t>
      </w:r>
      <w:r w:rsidR="008364A3" w:rsidRPr="002B6F86">
        <w:rPr>
          <w:sz w:val="24"/>
          <w:szCs w:val="24"/>
        </w:rPr>
        <w:t>(</w:t>
      </w:r>
      <w:r w:rsidR="00213951" w:rsidRPr="002B6F86">
        <w:rPr>
          <w:sz w:val="24"/>
          <w:szCs w:val="24"/>
        </w:rPr>
        <w:t>better</w:t>
      </w:r>
      <w:r w:rsidR="008364A3" w:rsidRPr="002B6F86">
        <w:rPr>
          <w:sz w:val="24"/>
          <w:szCs w:val="24"/>
        </w:rPr>
        <w:t xml:space="preserve">) </w:t>
      </w:r>
      <w:r w:rsidR="00895CCB" w:rsidRPr="002B6F86">
        <w:rPr>
          <w:sz w:val="24"/>
          <w:szCs w:val="24"/>
        </w:rPr>
        <w:t>MCS</w:t>
      </w:r>
      <w:r w:rsidR="00D84DB2" w:rsidRPr="002B6F86">
        <w:rPr>
          <w:sz w:val="24"/>
          <w:szCs w:val="24"/>
        </w:rPr>
        <w:t xml:space="preserve"> at </w:t>
      </w:r>
      <w:proofErr w:type="gramStart"/>
      <w:r w:rsidR="00D84DB2" w:rsidRPr="002B6F86">
        <w:rPr>
          <w:sz w:val="24"/>
          <w:szCs w:val="24"/>
        </w:rPr>
        <w:t>6</w:t>
      </w:r>
      <w:r w:rsidR="00D33509" w:rsidRPr="002B6F86">
        <w:rPr>
          <w:sz w:val="24"/>
          <w:szCs w:val="24"/>
        </w:rPr>
        <w:t xml:space="preserve"> </w:t>
      </w:r>
      <w:r w:rsidR="00D84DB2" w:rsidRPr="002B6F86">
        <w:rPr>
          <w:sz w:val="24"/>
          <w:szCs w:val="24"/>
        </w:rPr>
        <w:t xml:space="preserve"> </w:t>
      </w:r>
      <w:r w:rsidR="00BB0E8E" w:rsidRPr="002B6F86">
        <w:rPr>
          <w:sz w:val="24"/>
          <w:szCs w:val="24"/>
        </w:rPr>
        <w:t>and</w:t>
      </w:r>
      <w:proofErr w:type="gramEnd"/>
      <w:r w:rsidR="00BB0E8E" w:rsidRPr="002B6F86">
        <w:rPr>
          <w:sz w:val="24"/>
          <w:szCs w:val="24"/>
        </w:rPr>
        <w:t xml:space="preserve"> 12 </w:t>
      </w:r>
      <w:r w:rsidR="00D84DB2" w:rsidRPr="002B6F86">
        <w:rPr>
          <w:sz w:val="24"/>
          <w:szCs w:val="24"/>
        </w:rPr>
        <w:t>months</w:t>
      </w:r>
      <w:r w:rsidR="002B11C6" w:rsidRPr="002B6F86">
        <w:rPr>
          <w:sz w:val="24"/>
          <w:szCs w:val="24"/>
        </w:rPr>
        <w:t>. There was also an association between</w:t>
      </w:r>
      <w:r w:rsidR="004841C7" w:rsidRPr="002B6F86">
        <w:rPr>
          <w:sz w:val="24"/>
          <w:szCs w:val="24"/>
        </w:rPr>
        <w:t xml:space="preserve"> </w:t>
      </w:r>
      <w:r w:rsidR="00EE7453" w:rsidRPr="002B6F86">
        <w:rPr>
          <w:sz w:val="24"/>
          <w:szCs w:val="24"/>
        </w:rPr>
        <w:t xml:space="preserve">higher </w:t>
      </w:r>
      <w:r w:rsidR="004841C7" w:rsidRPr="002B6F86">
        <w:rPr>
          <w:sz w:val="24"/>
          <w:szCs w:val="24"/>
        </w:rPr>
        <w:t>social class (</w:t>
      </w:r>
      <w:r w:rsidR="00D84DB2" w:rsidRPr="002B6F86">
        <w:rPr>
          <w:sz w:val="24"/>
          <w:szCs w:val="24"/>
        </w:rPr>
        <w:t>higher SIMD quintile (lower deprivation)</w:t>
      </w:r>
      <w:r w:rsidR="002B11C6" w:rsidRPr="002B6F86">
        <w:rPr>
          <w:sz w:val="24"/>
          <w:szCs w:val="24"/>
        </w:rPr>
        <w:t>)</w:t>
      </w:r>
      <w:r w:rsidR="00D84DB2" w:rsidRPr="002B6F86">
        <w:rPr>
          <w:sz w:val="24"/>
          <w:szCs w:val="24"/>
        </w:rPr>
        <w:t xml:space="preserve"> and higher (</w:t>
      </w:r>
      <w:r w:rsidR="00F73BE9" w:rsidRPr="002B6F86">
        <w:rPr>
          <w:sz w:val="24"/>
          <w:szCs w:val="24"/>
        </w:rPr>
        <w:t>better</w:t>
      </w:r>
      <w:r w:rsidR="00D84DB2" w:rsidRPr="002B6F86">
        <w:rPr>
          <w:sz w:val="24"/>
          <w:szCs w:val="24"/>
        </w:rPr>
        <w:t>) MCS</w:t>
      </w:r>
      <w:r w:rsidR="002B11C6" w:rsidRPr="002B6F86">
        <w:rPr>
          <w:sz w:val="24"/>
          <w:szCs w:val="24"/>
        </w:rPr>
        <w:t xml:space="preserve"> at 6</w:t>
      </w:r>
      <w:r w:rsidR="00BB0E8E" w:rsidRPr="002B6F86">
        <w:rPr>
          <w:sz w:val="24"/>
          <w:szCs w:val="24"/>
        </w:rPr>
        <w:t xml:space="preserve"> months</w:t>
      </w:r>
      <w:r w:rsidR="002B11C6" w:rsidRPr="002B6F86">
        <w:rPr>
          <w:sz w:val="24"/>
          <w:szCs w:val="24"/>
        </w:rPr>
        <w:t xml:space="preserve"> </w:t>
      </w:r>
      <w:r w:rsidR="00BB0E8E" w:rsidRPr="002B6F86">
        <w:rPr>
          <w:sz w:val="24"/>
          <w:szCs w:val="24"/>
        </w:rPr>
        <w:t xml:space="preserve">but not 12 </w:t>
      </w:r>
      <w:r w:rsidR="002B11C6" w:rsidRPr="002B6F86">
        <w:rPr>
          <w:sz w:val="24"/>
          <w:szCs w:val="24"/>
        </w:rPr>
        <w:t>months</w:t>
      </w:r>
      <w:r w:rsidR="00D84DB2" w:rsidRPr="002B6F86">
        <w:rPr>
          <w:sz w:val="24"/>
          <w:szCs w:val="24"/>
        </w:rPr>
        <w:t xml:space="preserve">.  </w:t>
      </w:r>
      <w:r w:rsidR="00AF39BD" w:rsidRPr="002B6F86">
        <w:rPr>
          <w:sz w:val="24"/>
          <w:szCs w:val="24"/>
        </w:rPr>
        <w:t xml:space="preserve">In the </w:t>
      </w:r>
      <w:r w:rsidR="00C6202B" w:rsidRPr="002B6F86">
        <w:rPr>
          <w:sz w:val="24"/>
          <w:szCs w:val="24"/>
        </w:rPr>
        <w:t>sensitivity anal</w:t>
      </w:r>
      <w:r w:rsidR="004442B7" w:rsidRPr="002B6F86">
        <w:rPr>
          <w:sz w:val="24"/>
          <w:szCs w:val="24"/>
        </w:rPr>
        <w:t>yse</w:t>
      </w:r>
      <w:r w:rsidR="00C6202B" w:rsidRPr="002B6F86">
        <w:rPr>
          <w:sz w:val="24"/>
          <w:szCs w:val="24"/>
        </w:rPr>
        <w:t xml:space="preserve">s, </w:t>
      </w:r>
      <w:r w:rsidR="00BB0E8E" w:rsidRPr="002B6F86">
        <w:rPr>
          <w:sz w:val="24"/>
          <w:szCs w:val="24"/>
        </w:rPr>
        <w:t xml:space="preserve">the inclusion of </w:t>
      </w:r>
      <w:r w:rsidR="000D3799" w:rsidRPr="002B6F86">
        <w:rPr>
          <w:sz w:val="24"/>
          <w:szCs w:val="24"/>
        </w:rPr>
        <w:t xml:space="preserve">measures of early post-ICU discharge physical status (RMI and </w:t>
      </w:r>
      <w:r w:rsidR="00151A1E" w:rsidRPr="002B6F86">
        <w:rPr>
          <w:sz w:val="24"/>
          <w:szCs w:val="24"/>
        </w:rPr>
        <w:t>nutrition</w:t>
      </w:r>
      <w:r w:rsidR="000D3799" w:rsidRPr="002B6F86">
        <w:rPr>
          <w:sz w:val="24"/>
          <w:szCs w:val="24"/>
        </w:rPr>
        <w:t>)</w:t>
      </w:r>
      <w:r w:rsidR="002B11C6" w:rsidRPr="002B6F86">
        <w:rPr>
          <w:sz w:val="24"/>
          <w:szCs w:val="24"/>
        </w:rPr>
        <w:t xml:space="preserve"> </w:t>
      </w:r>
      <w:r w:rsidR="00BB0E8E" w:rsidRPr="002B6F86">
        <w:rPr>
          <w:sz w:val="24"/>
          <w:szCs w:val="24"/>
        </w:rPr>
        <w:t xml:space="preserve">did not significantly alter the observed effect sizes </w:t>
      </w:r>
    </w:p>
    <w:p w14:paraId="11A7D581" w14:textId="7E3C44FD" w:rsidR="0069744F" w:rsidRPr="002B6F86" w:rsidRDefault="002B11C6" w:rsidP="00B34E09">
      <w:pPr>
        <w:spacing w:line="480" w:lineRule="auto"/>
        <w:ind w:firstLine="720"/>
        <w:jc w:val="both"/>
        <w:rPr>
          <w:sz w:val="24"/>
          <w:szCs w:val="24"/>
        </w:rPr>
      </w:pPr>
      <w:r w:rsidRPr="002B6F86">
        <w:rPr>
          <w:sz w:val="24"/>
          <w:szCs w:val="24"/>
        </w:rPr>
        <w:t xml:space="preserve">To </w:t>
      </w:r>
      <w:r w:rsidR="00F73BE9" w:rsidRPr="002B6F86">
        <w:rPr>
          <w:sz w:val="24"/>
          <w:szCs w:val="24"/>
        </w:rPr>
        <w:t>illustrate</w:t>
      </w:r>
      <w:r w:rsidRPr="002B6F86">
        <w:rPr>
          <w:sz w:val="24"/>
          <w:szCs w:val="24"/>
        </w:rPr>
        <w:t xml:space="preserve"> the impact of increasing physical comorbidity on </w:t>
      </w:r>
      <w:proofErr w:type="spellStart"/>
      <w:r w:rsidRPr="002B6F86">
        <w:rPr>
          <w:sz w:val="24"/>
          <w:szCs w:val="24"/>
        </w:rPr>
        <w:t>HRQoL</w:t>
      </w:r>
      <w:proofErr w:type="spellEnd"/>
      <w:r w:rsidR="00F73BE9" w:rsidRPr="002B6F86">
        <w:rPr>
          <w:sz w:val="24"/>
          <w:szCs w:val="24"/>
        </w:rPr>
        <w:t xml:space="preserve"> trajectory</w:t>
      </w:r>
      <w:r w:rsidRPr="002B6F86">
        <w:rPr>
          <w:sz w:val="24"/>
          <w:szCs w:val="24"/>
        </w:rPr>
        <w:t xml:space="preserve">, we </w:t>
      </w:r>
      <w:r w:rsidR="00D11410" w:rsidRPr="002B6F86">
        <w:rPr>
          <w:sz w:val="24"/>
          <w:szCs w:val="24"/>
        </w:rPr>
        <w:t>plotted</w:t>
      </w:r>
      <w:r w:rsidRPr="002B6F86">
        <w:rPr>
          <w:sz w:val="24"/>
          <w:szCs w:val="24"/>
        </w:rPr>
        <w:t xml:space="preserve"> </w:t>
      </w:r>
      <w:proofErr w:type="spellStart"/>
      <w:r w:rsidRPr="002B6F86">
        <w:rPr>
          <w:sz w:val="24"/>
          <w:szCs w:val="24"/>
        </w:rPr>
        <w:t>HRQoL</w:t>
      </w:r>
      <w:proofErr w:type="spellEnd"/>
      <w:r w:rsidRPr="002B6F86">
        <w:rPr>
          <w:sz w:val="24"/>
          <w:szCs w:val="24"/>
        </w:rPr>
        <w:t xml:space="preserve"> trajectories </w:t>
      </w:r>
      <w:r w:rsidR="00D11410" w:rsidRPr="002B6F86">
        <w:rPr>
          <w:sz w:val="24"/>
          <w:szCs w:val="24"/>
        </w:rPr>
        <w:t xml:space="preserve">according to sub-groups of </w:t>
      </w:r>
      <w:r w:rsidR="004E70C6" w:rsidRPr="002B6F86">
        <w:rPr>
          <w:sz w:val="24"/>
          <w:szCs w:val="24"/>
        </w:rPr>
        <w:t>patients with different comorbidity</w:t>
      </w:r>
      <w:r w:rsidR="00D11410" w:rsidRPr="002B6F86">
        <w:rPr>
          <w:sz w:val="24"/>
          <w:szCs w:val="24"/>
        </w:rPr>
        <w:t xml:space="preserve"> count</w:t>
      </w:r>
      <w:r w:rsidR="004E70C6" w:rsidRPr="002B6F86">
        <w:rPr>
          <w:sz w:val="24"/>
          <w:szCs w:val="24"/>
        </w:rPr>
        <w:t>s prior to ICU admission</w:t>
      </w:r>
      <w:r w:rsidRPr="002B6F86">
        <w:rPr>
          <w:sz w:val="24"/>
          <w:szCs w:val="24"/>
        </w:rPr>
        <w:t xml:space="preserve">.  </w:t>
      </w:r>
      <w:r w:rsidR="00D11410" w:rsidRPr="002B6F86">
        <w:rPr>
          <w:sz w:val="24"/>
          <w:szCs w:val="24"/>
        </w:rPr>
        <w:t xml:space="preserve">This </w:t>
      </w:r>
      <w:r w:rsidR="004E70C6" w:rsidRPr="002B6F86">
        <w:rPr>
          <w:sz w:val="24"/>
          <w:szCs w:val="24"/>
        </w:rPr>
        <w:t xml:space="preserve">clearly </w:t>
      </w:r>
      <w:r w:rsidR="00D11410" w:rsidRPr="002B6F86">
        <w:rPr>
          <w:sz w:val="24"/>
          <w:szCs w:val="24"/>
        </w:rPr>
        <w:t xml:space="preserve">showed that as </w:t>
      </w:r>
      <w:r w:rsidR="004E70C6" w:rsidRPr="002B6F86">
        <w:rPr>
          <w:sz w:val="24"/>
          <w:szCs w:val="24"/>
        </w:rPr>
        <w:t>the numbers of comorbidities present pre-ICU</w:t>
      </w:r>
      <w:r w:rsidR="00D11410" w:rsidRPr="002B6F86">
        <w:rPr>
          <w:sz w:val="24"/>
          <w:szCs w:val="24"/>
        </w:rPr>
        <w:t xml:space="preserve"> increased</w:t>
      </w:r>
      <w:r w:rsidR="004E70C6" w:rsidRPr="002B6F86">
        <w:rPr>
          <w:sz w:val="24"/>
          <w:szCs w:val="24"/>
        </w:rPr>
        <w:t>,</w:t>
      </w:r>
      <w:r w:rsidR="00D11410" w:rsidRPr="002B6F86">
        <w:rPr>
          <w:sz w:val="24"/>
          <w:szCs w:val="24"/>
        </w:rPr>
        <w:t xml:space="preserve"> the PCS and MCS </w:t>
      </w:r>
      <w:r w:rsidR="008364A3" w:rsidRPr="002B6F86">
        <w:rPr>
          <w:sz w:val="24"/>
          <w:szCs w:val="24"/>
        </w:rPr>
        <w:t>were lower</w:t>
      </w:r>
      <w:r w:rsidR="00D11410" w:rsidRPr="002B6F86">
        <w:rPr>
          <w:sz w:val="24"/>
          <w:szCs w:val="24"/>
        </w:rPr>
        <w:t xml:space="preserve"> </w:t>
      </w:r>
      <w:r w:rsidR="004E70C6" w:rsidRPr="002B6F86">
        <w:rPr>
          <w:sz w:val="24"/>
          <w:szCs w:val="24"/>
        </w:rPr>
        <w:t xml:space="preserve">during the 12 months following ICU </w:t>
      </w:r>
      <w:r w:rsidR="004E70C6" w:rsidRPr="002B6F86">
        <w:rPr>
          <w:sz w:val="24"/>
          <w:szCs w:val="24"/>
        </w:rPr>
        <w:lastRenderedPageBreak/>
        <w:t xml:space="preserve">discharge </w:t>
      </w:r>
      <w:r w:rsidR="00D11410" w:rsidRPr="002B6F86">
        <w:rPr>
          <w:sz w:val="24"/>
          <w:szCs w:val="24"/>
        </w:rPr>
        <w:t xml:space="preserve">and </w:t>
      </w:r>
      <w:r w:rsidR="004E70C6" w:rsidRPr="002B6F86">
        <w:rPr>
          <w:sz w:val="24"/>
          <w:szCs w:val="24"/>
        </w:rPr>
        <w:t>tended to follow a flatter</w:t>
      </w:r>
      <w:r w:rsidR="00D11410" w:rsidRPr="002B6F86">
        <w:rPr>
          <w:sz w:val="24"/>
          <w:szCs w:val="24"/>
        </w:rPr>
        <w:t xml:space="preserve"> trajectory </w:t>
      </w:r>
      <w:r w:rsidR="00545AAE" w:rsidRPr="002B6F86">
        <w:rPr>
          <w:sz w:val="24"/>
          <w:szCs w:val="24"/>
        </w:rPr>
        <w:t>indicating l</w:t>
      </w:r>
      <w:r w:rsidR="004E70C6" w:rsidRPr="002B6F86">
        <w:rPr>
          <w:sz w:val="24"/>
          <w:szCs w:val="24"/>
        </w:rPr>
        <w:t>ack of</w:t>
      </w:r>
      <w:r w:rsidR="00545AAE" w:rsidRPr="002B6F86">
        <w:rPr>
          <w:sz w:val="24"/>
          <w:szCs w:val="24"/>
        </w:rPr>
        <w:t xml:space="preserve"> improvement</w:t>
      </w:r>
      <w:r w:rsidR="00D11410" w:rsidRPr="002B6F86">
        <w:rPr>
          <w:sz w:val="24"/>
          <w:szCs w:val="24"/>
        </w:rPr>
        <w:t xml:space="preserve"> (figure 2 and tables E</w:t>
      </w:r>
      <w:r w:rsidR="002C7834">
        <w:rPr>
          <w:sz w:val="24"/>
          <w:szCs w:val="24"/>
        </w:rPr>
        <w:t>4</w:t>
      </w:r>
      <w:r w:rsidR="00D11410" w:rsidRPr="002B6F86">
        <w:rPr>
          <w:sz w:val="24"/>
          <w:szCs w:val="24"/>
        </w:rPr>
        <w:t>-</w:t>
      </w:r>
      <w:r w:rsidR="002C7834">
        <w:rPr>
          <w:sz w:val="24"/>
          <w:szCs w:val="24"/>
        </w:rPr>
        <w:t>6</w:t>
      </w:r>
      <w:r w:rsidR="00D11410" w:rsidRPr="002B6F86">
        <w:rPr>
          <w:sz w:val="24"/>
          <w:szCs w:val="24"/>
        </w:rPr>
        <w:t xml:space="preserve"> (electronic supplement))</w:t>
      </w:r>
      <w:r w:rsidR="00545AAE" w:rsidRPr="002B6F86">
        <w:rPr>
          <w:sz w:val="24"/>
          <w:szCs w:val="24"/>
        </w:rPr>
        <w:t xml:space="preserve">. This was most marked for </w:t>
      </w:r>
      <w:r w:rsidR="008364A3" w:rsidRPr="002B6F86">
        <w:rPr>
          <w:sz w:val="24"/>
          <w:szCs w:val="24"/>
        </w:rPr>
        <w:t>PCS</w:t>
      </w:r>
      <w:r w:rsidR="00545AAE" w:rsidRPr="002B6F86">
        <w:rPr>
          <w:sz w:val="24"/>
          <w:szCs w:val="24"/>
        </w:rPr>
        <w:t xml:space="preserve">. </w:t>
      </w:r>
      <w:r w:rsidR="004E70C6" w:rsidRPr="002B6F86">
        <w:rPr>
          <w:sz w:val="24"/>
          <w:szCs w:val="24"/>
        </w:rPr>
        <w:t xml:space="preserve"> </w:t>
      </w:r>
    </w:p>
    <w:p w14:paraId="547E7052" w14:textId="65663703" w:rsidR="0069744F" w:rsidRPr="00B34E09" w:rsidRDefault="008F47EA" w:rsidP="00B34E09">
      <w:pPr>
        <w:spacing w:line="480" w:lineRule="auto"/>
        <w:rPr>
          <w:b/>
          <w:i/>
          <w:iCs/>
          <w:sz w:val="24"/>
          <w:szCs w:val="24"/>
        </w:rPr>
      </w:pPr>
      <w:r w:rsidRPr="00B34E09">
        <w:rPr>
          <w:rStyle w:val="Emphasis"/>
          <w:b/>
          <w:sz w:val="24"/>
          <w:szCs w:val="24"/>
        </w:rPr>
        <w:t>R</w:t>
      </w:r>
      <w:r w:rsidR="008364A3" w:rsidRPr="00B34E09">
        <w:rPr>
          <w:rStyle w:val="Emphasis"/>
          <w:b/>
        </w:rPr>
        <w:t xml:space="preserve">isk factors most strongly associated with patient-reported symptoms 12 </w:t>
      </w:r>
      <w:proofErr w:type="gramStart"/>
      <w:r w:rsidR="008364A3" w:rsidRPr="00B34E09">
        <w:rPr>
          <w:rStyle w:val="Emphasis"/>
          <w:b/>
        </w:rPr>
        <w:t>months</w:t>
      </w:r>
      <w:proofErr w:type="gramEnd"/>
      <w:r w:rsidR="008364A3" w:rsidRPr="00B34E09">
        <w:rPr>
          <w:rStyle w:val="Emphasis"/>
          <w:b/>
        </w:rPr>
        <w:t xml:space="preserve"> pos</w:t>
      </w:r>
      <w:bookmarkStart w:id="0" w:name="_GoBack"/>
      <w:bookmarkEnd w:id="0"/>
      <w:r w:rsidR="008364A3" w:rsidRPr="00B34E09">
        <w:rPr>
          <w:rStyle w:val="Emphasis"/>
          <w:b/>
        </w:rPr>
        <w:t>t ICU discharge</w:t>
      </w:r>
    </w:p>
    <w:p w14:paraId="6E434555" w14:textId="577347B5" w:rsidR="00B864D4" w:rsidRPr="002B6F86" w:rsidRDefault="002B6F86">
      <w:pPr>
        <w:spacing w:line="480" w:lineRule="auto"/>
        <w:jc w:val="both"/>
        <w:rPr>
          <w:b/>
          <w:sz w:val="24"/>
          <w:szCs w:val="24"/>
        </w:rPr>
      </w:pPr>
      <w:r w:rsidRPr="002B6F86">
        <w:rPr>
          <w:b/>
          <w:sz w:val="24"/>
          <w:szCs w:val="24"/>
        </w:rPr>
        <w:tab/>
      </w:r>
      <w:r w:rsidR="007F2B5A" w:rsidRPr="002B6F86">
        <w:rPr>
          <w:sz w:val="24"/>
          <w:szCs w:val="24"/>
        </w:rPr>
        <w:t>Higher</w:t>
      </w:r>
      <w:r w:rsidR="007338DA" w:rsidRPr="002B6F86">
        <w:rPr>
          <w:sz w:val="24"/>
          <w:szCs w:val="24"/>
        </w:rPr>
        <w:t xml:space="preserve"> </w:t>
      </w:r>
      <w:r w:rsidR="00C7410E" w:rsidRPr="00B34E09">
        <w:rPr>
          <w:sz w:val="24"/>
          <w:szCs w:val="24"/>
        </w:rPr>
        <w:t xml:space="preserve">comorbidity </w:t>
      </w:r>
      <w:r w:rsidR="007338DA" w:rsidRPr="002B6F86">
        <w:rPr>
          <w:sz w:val="24"/>
          <w:szCs w:val="24"/>
        </w:rPr>
        <w:t xml:space="preserve">count </w:t>
      </w:r>
      <w:r w:rsidR="00C7410E" w:rsidRPr="00B34E09">
        <w:rPr>
          <w:sz w:val="24"/>
          <w:szCs w:val="24"/>
        </w:rPr>
        <w:t xml:space="preserve">was </w:t>
      </w:r>
      <w:r w:rsidR="004442B7" w:rsidRPr="00B34E09">
        <w:rPr>
          <w:sz w:val="24"/>
          <w:szCs w:val="24"/>
        </w:rPr>
        <w:t>indep</w:t>
      </w:r>
      <w:r w:rsidR="006A4352" w:rsidRPr="002B6F86">
        <w:rPr>
          <w:sz w:val="24"/>
          <w:szCs w:val="24"/>
        </w:rPr>
        <w:t>en</w:t>
      </w:r>
      <w:r w:rsidR="004442B7" w:rsidRPr="00B34E09">
        <w:rPr>
          <w:sz w:val="24"/>
          <w:szCs w:val="24"/>
        </w:rPr>
        <w:t xml:space="preserve">dently </w:t>
      </w:r>
      <w:r w:rsidR="007F2B5A" w:rsidRPr="002B6F86">
        <w:rPr>
          <w:sz w:val="24"/>
          <w:szCs w:val="24"/>
        </w:rPr>
        <w:t xml:space="preserve">associated with </w:t>
      </w:r>
      <w:r w:rsidR="00D11410" w:rsidRPr="002B6F86">
        <w:rPr>
          <w:sz w:val="24"/>
          <w:szCs w:val="24"/>
        </w:rPr>
        <w:t>higher</w:t>
      </w:r>
      <w:r w:rsidR="004442B7" w:rsidRPr="00B34E09">
        <w:rPr>
          <w:sz w:val="24"/>
          <w:szCs w:val="24"/>
        </w:rPr>
        <w:t xml:space="preserve"> (worse)</w:t>
      </w:r>
      <w:r w:rsidR="007F2B5A" w:rsidRPr="002B6F86">
        <w:rPr>
          <w:sz w:val="24"/>
          <w:szCs w:val="24"/>
        </w:rPr>
        <w:t xml:space="preserve"> </w:t>
      </w:r>
      <w:r w:rsidR="004442B7" w:rsidRPr="00B34E09">
        <w:rPr>
          <w:sz w:val="24"/>
          <w:szCs w:val="24"/>
        </w:rPr>
        <w:t>appetite, fatigue, pain, joint stiffness, and breathlessness symptom scores</w:t>
      </w:r>
      <w:r w:rsidR="006A4352" w:rsidRPr="002B6F86">
        <w:rPr>
          <w:sz w:val="24"/>
          <w:szCs w:val="24"/>
        </w:rPr>
        <w:t xml:space="preserve"> (table E</w:t>
      </w:r>
      <w:r w:rsidR="002C7834">
        <w:rPr>
          <w:sz w:val="24"/>
          <w:szCs w:val="24"/>
        </w:rPr>
        <w:t>7</w:t>
      </w:r>
      <w:r w:rsidR="006A4352" w:rsidRPr="002B6F86">
        <w:rPr>
          <w:sz w:val="24"/>
          <w:szCs w:val="24"/>
        </w:rPr>
        <w:t>; online electronic supplement</w:t>
      </w:r>
      <w:r w:rsidR="00B06F46" w:rsidRPr="002B6F86">
        <w:rPr>
          <w:sz w:val="24"/>
          <w:szCs w:val="24"/>
        </w:rPr>
        <w:t>)</w:t>
      </w:r>
      <w:r w:rsidR="004442B7" w:rsidRPr="00B34E09">
        <w:rPr>
          <w:sz w:val="24"/>
          <w:szCs w:val="24"/>
        </w:rPr>
        <w:t xml:space="preserve">.  </w:t>
      </w:r>
      <w:r w:rsidR="00C7410E" w:rsidRPr="00B34E09">
        <w:rPr>
          <w:sz w:val="24"/>
          <w:szCs w:val="24"/>
        </w:rPr>
        <w:t>Increasing SIMD quintile (</w:t>
      </w:r>
      <w:r w:rsidR="00165EF3" w:rsidRPr="00B34E09">
        <w:rPr>
          <w:sz w:val="24"/>
          <w:szCs w:val="24"/>
        </w:rPr>
        <w:t xml:space="preserve">lower </w:t>
      </w:r>
      <w:r w:rsidR="00C7410E" w:rsidRPr="00B34E09">
        <w:rPr>
          <w:sz w:val="24"/>
          <w:szCs w:val="24"/>
        </w:rPr>
        <w:t xml:space="preserve">deprivation) was associated with lower pain scores.  </w:t>
      </w:r>
      <w:r w:rsidR="004442B7" w:rsidRPr="00B34E09">
        <w:rPr>
          <w:sz w:val="24"/>
          <w:szCs w:val="24"/>
        </w:rPr>
        <w:t xml:space="preserve">Neither </w:t>
      </w:r>
      <w:r w:rsidR="00C7410E" w:rsidRPr="00B34E09">
        <w:rPr>
          <w:sz w:val="24"/>
          <w:szCs w:val="24"/>
        </w:rPr>
        <w:t xml:space="preserve">of the </w:t>
      </w:r>
      <w:r w:rsidR="004442B7" w:rsidRPr="00B34E09">
        <w:rPr>
          <w:sz w:val="24"/>
          <w:szCs w:val="24"/>
        </w:rPr>
        <w:t>acute illness severity factors</w:t>
      </w:r>
      <w:r w:rsidR="004442B7" w:rsidRPr="002B6F86">
        <w:rPr>
          <w:sz w:val="24"/>
          <w:szCs w:val="24"/>
        </w:rPr>
        <w:t xml:space="preserve"> </w:t>
      </w:r>
      <w:r w:rsidR="004442B7" w:rsidRPr="00B34E09">
        <w:rPr>
          <w:sz w:val="24"/>
          <w:szCs w:val="24"/>
        </w:rPr>
        <w:t xml:space="preserve">(APACHE II score or duration of </w:t>
      </w:r>
      <w:r w:rsidR="00FF3B7D">
        <w:rPr>
          <w:sz w:val="24"/>
          <w:szCs w:val="24"/>
        </w:rPr>
        <w:t>MV</w:t>
      </w:r>
      <w:r w:rsidR="004442B7" w:rsidRPr="00B34E09">
        <w:rPr>
          <w:sz w:val="24"/>
          <w:szCs w:val="24"/>
        </w:rPr>
        <w:t>) were associated with any of the symptoms</w:t>
      </w:r>
      <w:r w:rsidR="00C7410E" w:rsidRPr="00B34E09">
        <w:rPr>
          <w:sz w:val="24"/>
          <w:szCs w:val="24"/>
        </w:rPr>
        <w:t>.</w:t>
      </w:r>
      <w:r w:rsidR="00C7410E" w:rsidRPr="002B6F86">
        <w:rPr>
          <w:sz w:val="24"/>
          <w:szCs w:val="24"/>
        </w:rPr>
        <w:t xml:space="preserve">  The </w:t>
      </w:r>
      <w:r w:rsidR="00B864D4" w:rsidRPr="002B6F86">
        <w:rPr>
          <w:sz w:val="24"/>
          <w:szCs w:val="24"/>
        </w:rPr>
        <w:t>observed co-</w:t>
      </w:r>
      <w:proofErr w:type="spellStart"/>
      <w:r w:rsidR="00B864D4" w:rsidRPr="002B6F86">
        <w:rPr>
          <w:sz w:val="24"/>
          <w:szCs w:val="24"/>
        </w:rPr>
        <w:t>efficients</w:t>
      </w:r>
      <w:proofErr w:type="spellEnd"/>
      <w:r w:rsidR="00B864D4" w:rsidRPr="002B6F86">
        <w:rPr>
          <w:sz w:val="24"/>
          <w:szCs w:val="24"/>
        </w:rPr>
        <w:t xml:space="preserve"> </w:t>
      </w:r>
      <w:r w:rsidR="00C7410E" w:rsidRPr="002B6F86">
        <w:rPr>
          <w:sz w:val="24"/>
          <w:szCs w:val="24"/>
        </w:rPr>
        <w:t>were not affected by nutrition and baseline RMI when tested in the sensitivity analysis</w:t>
      </w:r>
      <w:r w:rsidR="00B864D4" w:rsidRPr="002B6F86">
        <w:rPr>
          <w:sz w:val="24"/>
          <w:szCs w:val="24"/>
        </w:rPr>
        <w:t>, even though RMI and nutrition were associated with some of the symptom outcomes:</w:t>
      </w:r>
      <w:r w:rsidR="00C7410E" w:rsidRPr="002B6F86">
        <w:rPr>
          <w:sz w:val="24"/>
          <w:szCs w:val="24"/>
        </w:rPr>
        <w:t xml:space="preserve">  </w:t>
      </w:r>
      <w:r w:rsidR="00B864D4" w:rsidRPr="002B6F86">
        <w:rPr>
          <w:sz w:val="24"/>
          <w:szCs w:val="24"/>
        </w:rPr>
        <w:t>Lower RMI (poorer mobility) at baseline was associated more severe joint stiffness during follow up. Poorer nutritional status on subjective assessment</w:t>
      </w:r>
      <w:r w:rsidR="00C7410E" w:rsidRPr="002B6F86">
        <w:rPr>
          <w:sz w:val="24"/>
          <w:szCs w:val="24"/>
        </w:rPr>
        <w:t xml:space="preserve"> was associated with </w:t>
      </w:r>
      <w:r w:rsidR="008851CA" w:rsidRPr="002B6F86">
        <w:rPr>
          <w:sz w:val="24"/>
          <w:szCs w:val="24"/>
        </w:rPr>
        <w:t>higher</w:t>
      </w:r>
      <w:r w:rsidR="00B864D4" w:rsidRPr="002B6F86">
        <w:rPr>
          <w:sz w:val="24"/>
          <w:szCs w:val="24"/>
        </w:rPr>
        <w:t xml:space="preserve"> </w:t>
      </w:r>
      <w:r w:rsidR="00C7410E" w:rsidRPr="002B6F86">
        <w:rPr>
          <w:sz w:val="24"/>
          <w:szCs w:val="24"/>
        </w:rPr>
        <w:t>pain and fatigue</w:t>
      </w:r>
      <w:r w:rsidR="008851CA" w:rsidRPr="002B6F86">
        <w:rPr>
          <w:sz w:val="24"/>
          <w:szCs w:val="24"/>
        </w:rPr>
        <w:t xml:space="preserve"> scores during</w:t>
      </w:r>
      <w:r w:rsidR="00C7410E" w:rsidRPr="002B6F86">
        <w:rPr>
          <w:sz w:val="24"/>
          <w:szCs w:val="24"/>
        </w:rPr>
        <w:t xml:space="preserve"> </w:t>
      </w:r>
      <w:r w:rsidR="00B864D4" w:rsidRPr="002B6F86">
        <w:rPr>
          <w:sz w:val="24"/>
          <w:szCs w:val="24"/>
        </w:rPr>
        <w:t>follow up.</w:t>
      </w:r>
    </w:p>
    <w:p w14:paraId="636F4DB9" w14:textId="2E25737B" w:rsidR="009C7AF6" w:rsidRPr="002B6F86" w:rsidRDefault="001D775B">
      <w:pPr>
        <w:spacing w:line="480" w:lineRule="auto"/>
        <w:jc w:val="both"/>
        <w:rPr>
          <w:b/>
          <w:sz w:val="24"/>
          <w:szCs w:val="24"/>
        </w:rPr>
      </w:pPr>
      <w:r w:rsidRPr="002B6F86">
        <w:rPr>
          <w:b/>
          <w:sz w:val="24"/>
          <w:szCs w:val="24"/>
        </w:rPr>
        <w:t>DISCUSSION</w:t>
      </w:r>
    </w:p>
    <w:p w14:paraId="71B45EE6" w14:textId="05A06E59" w:rsidR="00E26315" w:rsidRPr="002B6F86" w:rsidRDefault="000A6268" w:rsidP="00B34E09">
      <w:pPr>
        <w:spacing w:after="0" w:line="480" w:lineRule="auto"/>
        <w:ind w:firstLine="720"/>
        <w:jc w:val="both"/>
        <w:rPr>
          <w:color w:val="000000" w:themeColor="text1"/>
          <w:sz w:val="24"/>
          <w:szCs w:val="24"/>
        </w:rPr>
      </w:pPr>
      <w:r w:rsidRPr="002B6F86">
        <w:rPr>
          <w:color w:val="000000" w:themeColor="text1"/>
          <w:sz w:val="24"/>
          <w:szCs w:val="24"/>
        </w:rPr>
        <w:t>We report</w:t>
      </w:r>
      <w:r w:rsidR="00C61042" w:rsidRPr="002B6F86">
        <w:rPr>
          <w:color w:val="000000" w:themeColor="text1"/>
          <w:sz w:val="24"/>
          <w:szCs w:val="24"/>
        </w:rPr>
        <w:t xml:space="preserve"> </w:t>
      </w:r>
      <w:r w:rsidR="00770E14" w:rsidRPr="002B6F86">
        <w:rPr>
          <w:color w:val="000000" w:themeColor="text1"/>
          <w:sz w:val="24"/>
          <w:szCs w:val="24"/>
        </w:rPr>
        <w:t>a</w:t>
      </w:r>
      <w:r w:rsidR="009760DD" w:rsidRPr="002B6F86">
        <w:rPr>
          <w:color w:val="000000" w:themeColor="text1"/>
          <w:sz w:val="24"/>
          <w:szCs w:val="24"/>
        </w:rPr>
        <w:t xml:space="preserve"> </w:t>
      </w:r>
      <w:r w:rsidR="00016FC7" w:rsidRPr="002B6F86">
        <w:rPr>
          <w:color w:val="000000" w:themeColor="text1"/>
          <w:sz w:val="24"/>
          <w:szCs w:val="24"/>
        </w:rPr>
        <w:t xml:space="preserve">secondary analysis of </w:t>
      </w:r>
      <w:r w:rsidR="00867A79" w:rsidRPr="002B6F86">
        <w:rPr>
          <w:color w:val="000000" w:themeColor="text1"/>
          <w:sz w:val="24"/>
          <w:szCs w:val="24"/>
        </w:rPr>
        <w:t>trial data</w:t>
      </w:r>
      <w:r w:rsidR="00016FC7" w:rsidRPr="002B6F86">
        <w:rPr>
          <w:color w:val="000000" w:themeColor="text1"/>
          <w:sz w:val="24"/>
          <w:szCs w:val="24"/>
        </w:rPr>
        <w:t xml:space="preserve"> exploring </w:t>
      </w:r>
      <w:r w:rsidR="00BF084C" w:rsidRPr="002B6F86">
        <w:rPr>
          <w:color w:val="000000" w:themeColor="text1"/>
          <w:sz w:val="24"/>
          <w:szCs w:val="24"/>
        </w:rPr>
        <w:t xml:space="preserve">trajectories and </w:t>
      </w:r>
      <w:r w:rsidR="00016FC7" w:rsidRPr="002B6F86">
        <w:rPr>
          <w:color w:val="000000" w:themeColor="text1"/>
          <w:sz w:val="24"/>
          <w:szCs w:val="24"/>
        </w:rPr>
        <w:t>determinants of</w:t>
      </w:r>
      <w:r w:rsidR="009760DD" w:rsidRPr="002B6F86">
        <w:rPr>
          <w:color w:val="000000" w:themeColor="text1"/>
          <w:sz w:val="24"/>
          <w:szCs w:val="24"/>
        </w:rPr>
        <w:t xml:space="preserve"> </w:t>
      </w:r>
      <w:proofErr w:type="spellStart"/>
      <w:r w:rsidR="006D5BA1" w:rsidRPr="002B6F86">
        <w:rPr>
          <w:color w:val="000000" w:themeColor="text1"/>
          <w:sz w:val="24"/>
          <w:szCs w:val="24"/>
        </w:rPr>
        <w:t>HRQoL</w:t>
      </w:r>
      <w:proofErr w:type="spellEnd"/>
      <w:r w:rsidR="000432B5" w:rsidRPr="002B6F86">
        <w:rPr>
          <w:color w:val="000000" w:themeColor="text1"/>
          <w:sz w:val="24"/>
          <w:szCs w:val="24"/>
        </w:rPr>
        <w:t xml:space="preserve"> </w:t>
      </w:r>
      <w:r w:rsidR="00BF084C" w:rsidRPr="002B6F86">
        <w:rPr>
          <w:color w:val="000000" w:themeColor="text1"/>
          <w:sz w:val="24"/>
          <w:szCs w:val="24"/>
        </w:rPr>
        <w:t xml:space="preserve">and </w:t>
      </w:r>
      <w:r w:rsidR="00EA705A" w:rsidRPr="002B6F86">
        <w:rPr>
          <w:color w:val="000000" w:themeColor="text1"/>
          <w:sz w:val="24"/>
          <w:szCs w:val="24"/>
        </w:rPr>
        <w:t xml:space="preserve">physical </w:t>
      </w:r>
      <w:r w:rsidR="00BF084C" w:rsidRPr="002B6F86">
        <w:rPr>
          <w:color w:val="000000" w:themeColor="text1"/>
          <w:sz w:val="24"/>
          <w:szCs w:val="24"/>
        </w:rPr>
        <w:t xml:space="preserve">symptoms </w:t>
      </w:r>
      <w:r w:rsidR="00EA705A" w:rsidRPr="002B6F86">
        <w:rPr>
          <w:color w:val="000000" w:themeColor="text1"/>
          <w:sz w:val="24"/>
          <w:szCs w:val="24"/>
        </w:rPr>
        <w:t xml:space="preserve">during </w:t>
      </w:r>
      <w:r w:rsidR="009760DD" w:rsidRPr="002B6F86">
        <w:rPr>
          <w:color w:val="000000" w:themeColor="text1"/>
          <w:sz w:val="24"/>
          <w:szCs w:val="24"/>
        </w:rPr>
        <w:t xml:space="preserve">12 months </w:t>
      </w:r>
      <w:r w:rsidR="00EA705A" w:rsidRPr="002B6F86">
        <w:rPr>
          <w:color w:val="000000" w:themeColor="text1"/>
          <w:sz w:val="24"/>
          <w:szCs w:val="24"/>
        </w:rPr>
        <w:t xml:space="preserve">of </w:t>
      </w:r>
      <w:r w:rsidR="009760DD" w:rsidRPr="002B6F86">
        <w:rPr>
          <w:color w:val="000000" w:themeColor="text1"/>
          <w:sz w:val="24"/>
          <w:szCs w:val="24"/>
        </w:rPr>
        <w:t>follow-up</w:t>
      </w:r>
      <w:r w:rsidR="00770E14" w:rsidRPr="002B6F86">
        <w:rPr>
          <w:color w:val="000000" w:themeColor="text1"/>
          <w:sz w:val="24"/>
          <w:szCs w:val="24"/>
        </w:rPr>
        <w:t xml:space="preserve"> </w:t>
      </w:r>
      <w:r w:rsidR="000A1EC0" w:rsidRPr="002B6F86">
        <w:rPr>
          <w:color w:val="000000" w:themeColor="text1"/>
          <w:sz w:val="24"/>
          <w:szCs w:val="24"/>
        </w:rPr>
        <w:t>after</w:t>
      </w:r>
      <w:r w:rsidR="00770E14" w:rsidRPr="002B6F86">
        <w:rPr>
          <w:color w:val="000000" w:themeColor="text1"/>
          <w:sz w:val="24"/>
          <w:szCs w:val="24"/>
        </w:rPr>
        <w:t xml:space="preserve"> critical illness</w:t>
      </w:r>
      <w:r w:rsidR="009C4683" w:rsidRPr="002B6F86">
        <w:rPr>
          <w:color w:val="000000" w:themeColor="text1"/>
          <w:sz w:val="24"/>
          <w:szCs w:val="24"/>
        </w:rPr>
        <w:t xml:space="preserve">. At </w:t>
      </w:r>
      <w:r w:rsidR="002B11C6" w:rsidRPr="002B6F86">
        <w:rPr>
          <w:color w:val="000000" w:themeColor="text1"/>
          <w:sz w:val="24"/>
          <w:szCs w:val="24"/>
        </w:rPr>
        <w:t xml:space="preserve">cohort </w:t>
      </w:r>
      <w:r w:rsidR="00995DAF" w:rsidRPr="002B6F86">
        <w:rPr>
          <w:color w:val="000000" w:themeColor="text1"/>
          <w:sz w:val="24"/>
          <w:szCs w:val="24"/>
        </w:rPr>
        <w:t xml:space="preserve">level </w:t>
      </w:r>
      <w:r w:rsidR="00576556" w:rsidRPr="002B6F86">
        <w:rPr>
          <w:color w:val="000000" w:themeColor="text1"/>
          <w:sz w:val="24"/>
          <w:szCs w:val="24"/>
        </w:rPr>
        <w:t>PCS</w:t>
      </w:r>
      <w:r w:rsidR="00484DC8" w:rsidRPr="002B6F86">
        <w:rPr>
          <w:color w:val="000000" w:themeColor="text1"/>
          <w:sz w:val="24"/>
          <w:szCs w:val="24"/>
        </w:rPr>
        <w:t xml:space="preserve"> and</w:t>
      </w:r>
      <w:r w:rsidR="00576556" w:rsidRPr="002B6F86">
        <w:rPr>
          <w:color w:val="000000" w:themeColor="text1"/>
          <w:sz w:val="24"/>
          <w:szCs w:val="24"/>
        </w:rPr>
        <w:t xml:space="preserve"> MCS</w:t>
      </w:r>
      <w:r w:rsidR="00484DC8" w:rsidRPr="002B6F86">
        <w:rPr>
          <w:color w:val="000000" w:themeColor="text1"/>
          <w:sz w:val="24"/>
          <w:szCs w:val="24"/>
        </w:rPr>
        <w:t xml:space="preserve"> </w:t>
      </w:r>
      <w:r w:rsidR="00A77B0A" w:rsidRPr="002B6F86">
        <w:rPr>
          <w:color w:val="000000" w:themeColor="text1"/>
          <w:sz w:val="24"/>
          <w:szCs w:val="24"/>
        </w:rPr>
        <w:t xml:space="preserve">were </w:t>
      </w:r>
      <w:r w:rsidR="00484DC8" w:rsidRPr="002B6F86">
        <w:rPr>
          <w:color w:val="000000" w:themeColor="text1"/>
          <w:sz w:val="24"/>
          <w:szCs w:val="24"/>
        </w:rPr>
        <w:t xml:space="preserve">below population means </w:t>
      </w:r>
      <w:r w:rsidR="00A77B0A" w:rsidRPr="002B6F86">
        <w:rPr>
          <w:color w:val="000000" w:themeColor="text1"/>
          <w:sz w:val="24"/>
          <w:szCs w:val="24"/>
        </w:rPr>
        <w:t xml:space="preserve">and </w:t>
      </w:r>
      <w:r w:rsidR="00484DC8" w:rsidRPr="002B6F86">
        <w:rPr>
          <w:color w:val="000000" w:themeColor="text1"/>
          <w:sz w:val="24"/>
          <w:szCs w:val="24"/>
        </w:rPr>
        <w:t xml:space="preserve">did not </w:t>
      </w:r>
      <w:r w:rsidR="00517273" w:rsidRPr="002B6F86">
        <w:rPr>
          <w:color w:val="000000" w:themeColor="text1"/>
          <w:sz w:val="24"/>
          <w:szCs w:val="24"/>
        </w:rPr>
        <w:t>change</w:t>
      </w:r>
      <w:r w:rsidR="00FF3B7D">
        <w:rPr>
          <w:color w:val="000000" w:themeColor="text1"/>
          <w:sz w:val="24"/>
          <w:szCs w:val="24"/>
        </w:rPr>
        <w:t xml:space="preserve"> by a clinically important amount</w:t>
      </w:r>
      <w:r w:rsidR="00517273" w:rsidRPr="002B6F86">
        <w:rPr>
          <w:color w:val="000000" w:themeColor="text1"/>
          <w:sz w:val="24"/>
          <w:szCs w:val="24"/>
        </w:rPr>
        <w:t xml:space="preserve"> </w:t>
      </w:r>
      <w:r w:rsidR="00576556" w:rsidRPr="002B6F86">
        <w:rPr>
          <w:color w:val="000000" w:themeColor="text1"/>
          <w:sz w:val="24"/>
          <w:szCs w:val="24"/>
        </w:rPr>
        <w:t>between 3</w:t>
      </w:r>
      <w:r w:rsidR="00484DC8" w:rsidRPr="002B6F86">
        <w:rPr>
          <w:color w:val="000000" w:themeColor="text1"/>
          <w:sz w:val="24"/>
          <w:szCs w:val="24"/>
        </w:rPr>
        <w:t xml:space="preserve"> months</w:t>
      </w:r>
      <w:r w:rsidR="00576556" w:rsidRPr="002B6F86">
        <w:rPr>
          <w:color w:val="000000" w:themeColor="text1"/>
          <w:sz w:val="24"/>
          <w:szCs w:val="24"/>
        </w:rPr>
        <w:t xml:space="preserve"> </w:t>
      </w:r>
      <w:r w:rsidR="00484DC8" w:rsidRPr="002B6F86">
        <w:rPr>
          <w:color w:val="000000" w:themeColor="text1"/>
          <w:sz w:val="24"/>
          <w:szCs w:val="24"/>
        </w:rPr>
        <w:t>and 12 months</w:t>
      </w:r>
      <w:r w:rsidR="00C05D0D" w:rsidRPr="002B6F86">
        <w:rPr>
          <w:color w:val="000000" w:themeColor="text1"/>
          <w:sz w:val="24"/>
          <w:szCs w:val="24"/>
        </w:rPr>
        <w:t xml:space="preserve">.  </w:t>
      </w:r>
      <w:r w:rsidR="00517273" w:rsidRPr="002B6F86">
        <w:rPr>
          <w:color w:val="000000" w:themeColor="text1"/>
          <w:sz w:val="24"/>
          <w:szCs w:val="24"/>
        </w:rPr>
        <w:t>Specifically, a</w:t>
      </w:r>
      <w:r w:rsidR="00484DC8" w:rsidRPr="002B6F86">
        <w:rPr>
          <w:color w:val="000000" w:themeColor="text1"/>
          <w:sz w:val="24"/>
          <w:szCs w:val="24"/>
        </w:rPr>
        <w:t xml:space="preserve">round </w:t>
      </w:r>
      <w:r w:rsidR="00517273" w:rsidRPr="002B6F86">
        <w:rPr>
          <w:color w:val="000000" w:themeColor="text1"/>
          <w:sz w:val="24"/>
          <w:szCs w:val="24"/>
        </w:rPr>
        <w:t>two</w:t>
      </w:r>
      <w:r w:rsidR="00484DC8" w:rsidRPr="002B6F86">
        <w:rPr>
          <w:color w:val="000000" w:themeColor="text1"/>
          <w:sz w:val="24"/>
          <w:szCs w:val="24"/>
        </w:rPr>
        <w:t xml:space="preserve"> thirds of patients showed no clinically important improvement in MCS and PCS </w:t>
      </w:r>
      <w:r w:rsidR="00517273" w:rsidRPr="002B6F86">
        <w:rPr>
          <w:color w:val="000000" w:themeColor="text1"/>
          <w:sz w:val="24"/>
          <w:szCs w:val="24"/>
        </w:rPr>
        <w:t xml:space="preserve">(≥5 points) between 3 and 6 months, even among the quartiles with lower </w:t>
      </w:r>
      <w:proofErr w:type="spellStart"/>
      <w:r w:rsidR="00517273" w:rsidRPr="002B6F86">
        <w:rPr>
          <w:color w:val="000000" w:themeColor="text1"/>
          <w:sz w:val="24"/>
          <w:szCs w:val="24"/>
        </w:rPr>
        <w:t>HRQoL</w:t>
      </w:r>
      <w:proofErr w:type="spellEnd"/>
      <w:r w:rsidR="00517273" w:rsidRPr="002B6F86">
        <w:rPr>
          <w:color w:val="000000" w:themeColor="text1"/>
          <w:sz w:val="24"/>
          <w:szCs w:val="24"/>
        </w:rPr>
        <w:t xml:space="preserve"> at 3 months</w:t>
      </w:r>
      <w:r w:rsidR="00C05D0D" w:rsidRPr="002B6F86">
        <w:rPr>
          <w:color w:val="000000" w:themeColor="text1"/>
          <w:sz w:val="24"/>
          <w:szCs w:val="24"/>
        </w:rPr>
        <w:t xml:space="preserve">.  </w:t>
      </w:r>
      <w:r w:rsidR="00517273" w:rsidRPr="002B6F86">
        <w:rPr>
          <w:color w:val="000000" w:themeColor="text1"/>
          <w:sz w:val="24"/>
          <w:szCs w:val="24"/>
        </w:rPr>
        <w:t>In multivariable analysis, p</w:t>
      </w:r>
      <w:r w:rsidR="00C05D0D" w:rsidRPr="002B6F86">
        <w:rPr>
          <w:color w:val="000000" w:themeColor="text1"/>
          <w:sz w:val="24"/>
          <w:szCs w:val="24"/>
        </w:rPr>
        <w:t>re-</w:t>
      </w:r>
      <w:proofErr w:type="spellStart"/>
      <w:r w:rsidR="00C05D0D" w:rsidRPr="002B6F86">
        <w:rPr>
          <w:color w:val="000000" w:themeColor="text1"/>
          <w:sz w:val="24"/>
          <w:szCs w:val="24"/>
        </w:rPr>
        <w:t>exisit</w:t>
      </w:r>
      <w:r w:rsidR="00490E33" w:rsidRPr="002B6F86">
        <w:rPr>
          <w:color w:val="000000" w:themeColor="text1"/>
          <w:sz w:val="24"/>
          <w:szCs w:val="24"/>
        </w:rPr>
        <w:t>i</w:t>
      </w:r>
      <w:r w:rsidR="00C05D0D" w:rsidRPr="002B6F86">
        <w:rPr>
          <w:color w:val="000000" w:themeColor="text1"/>
          <w:sz w:val="24"/>
          <w:szCs w:val="24"/>
        </w:rPr>
        <w:t>ng</w:t>
      </w:r>
      <w:proofErr w:type="spellEnd"/>
      <w:r w:rsidR="00C05D0D" w:rsidRPr="002B6F86">
        <w:rPr>
          <w:color w:val="000000" w:themeColor="text1"/>
          <w:sz w:val="24"/>
          <w:szCs w:val="24"/>
        </w:rPr>
        <w:t xml:space="preserve"> comorbidity</w:t>
      </w:r>
      <w:r w:rsidR="0026168A" w:rsidRPr="002B6F86">
        <w:rPr>
          <w:color w:val="000000" w:themeColor="text1"/>
          <w:sz w:val="24"/>
          <w:szCs w:val="24"/>
        </w:rPr>
        <w:t xml:space="preserve"> count</w:t>
      </w:r>
      <w:r w:rsidR="00C05D0D" w:rsidRPr="002B6F86">
        <w:rPr>
          <w:color w:val="000000" w:themeColor="text1"/>
          <w:sz w:val="24"/>
          <w:szCs w:val="24"/>
        </w:rPr>
        <w:t xml:space="preserve"> emerged as the most important predictor of long</w:t>
      </w:r>
      <w:r w:rsidR="0048636A" w:rsidRPr="002B6F86">
        <w:rPr>
          <w:color w:val="000000" w:themeColor="text1"/>
          <w:sz w:val="24"/>
          <w:szCs w:val="24"/>
        </w:rPr>
        <w:t xml:space="preserve"> term </w:t>
      </w:r>
      <w:proofErr w:type="spellStart"/>
      <w:r w:rsidR="0048636A" w:rsidRPr="002B6F86">
        <w:rPr>
          <w:color w:val="000000" w:themeColor="text1"/>
          <w:sz w:val="24"/>
          <w:szCs w:val="24"/>
        </w:rPr>
        <w:t>HRQo</w:t>
      </w:r>
      <w:r w:rsidR="00C05D0D" w:rsidRPr="002B6F86">
        <w:rPr>
          <w:color w:val="000000" w:themeColor="text1"/>
          <w:sz w:val="24"/>
          <w:szCs w:val="24"/>
        </w:rPr>
        <w:t>L</w:t>
      </w:r>
      <w:proofErr w:type="spellEnd"/>
      <w:r w:rsidR="002A50A3" w:rsidRPr="002B6F86">
        <w:rPr>
          <w:color w:val="000000" w:themeColor="text1"/>
          <w:sz w:val="24"/>
          <w:szCs w:val="24"/>
        </w:rPr>
        <w:t xml:space="preserve"> outcome</w:t>
      </w:r>
      <w:r w:rsidR="0026168A" w:rsidRPr="002B6F86">
        <w:rPr>
          <w:color w:val="000000" w:themeColor="text1"/>
          <w:sz w:val="24"/>
          <w:szCs w:val="24"/>
        </w:rPr>
        <w:t>.</w:t>
      </w:r>
      <w:r w:rsidR="00C05D0D" w:rsidRPr="002B6F86">
        <w:rPr>
          <w:color w:val="000000" w:themeColor="text1"/>
          <w:sz w:val="24"/>
          <w:szCs w:val="24"/>
        </w:rPr>
        <w:t xml:space="preserve"> </w:t>
      </w:r>
      <w:r w:rsidR="0026168A" w:rsidRPr="002B6F86">
        <w:rPr>
          <w:color w:val="000000" w:themeColor="text1"/>
          <w:sz w:val="24"/>
          <w:szCs w:val="24"/>
        </w:rPr>
        <w:t>P</w:t>
      </w:r>
      <w:r w:rsidR="006D5BA1" w:rsidRPr="002B6F86">
        <w:rPr>
          <w:color w:val="000000" w:themeColor="text1"/>
          <w:sz w:val="24"/>
          <w:szCs w:val="24"/>
        </w:rPr>
        <w:t>atient</w:t>
      </w:r>
      <w:r w:rsidR="009C6A26" w:rsidRPr="002B6F86">
        <w:rPr>
          <w:color w:val="000000" w:themeColor="text1"/>
          <w:sz w:val="24"/>
          <w:szCs w:val="24"/>
        </w:rPr>
        <w:t xml:space="preserve"> demographics, measures of critical illness severity, and early post critical </w:t>
      </w:r>
      <w:r w:rsidR="009C6A26" w:rsidRPr="002B6F86">
        <w:rPr>
          <w:color w:val="000000" w:themeColor="text1"/>
          <w:sz w:val="24"/>
          <w:szCs w:val="24"/>
        </w:rPr>
        <w:lastRenderedPageBreak/>
        <w:t xml:space="preserve">illness physical status </w:t>
      </w:r>
      <w:r w:rsidR="00F2363A" w:rsidRPr="002B6F86">
        <w:rPr>
          <w:color w:val="000000" w:themeColor="text1"/>
          <w:sz w:val="24"/>
          <w:szCs w:val="24"/>
        </w:rPr>
        <w:t xml:space="preserve">were not </w:t>
      </w:r>
      <w:r w:rsidR="009C6A26" w:rsidRPr="002B6F86">
        <w:rPr>
          <w:color w:val="000000" w:themeColor="text1"/>
          <w:sz w:val="24"/>
          <w:szCs w:val="24"/>
        </w:rPr>
        <w:t>significant</w:t>
      </w:r>
      <w:r w:rsidR="00F2363A" w:rsidRPr="002B6F86">
        <w:rPr>
          <w:color w:val="000000" w:themeColor="text1"/>
          <w:sz w:val="24"/>
          <w:szCs w:val="24"/>
        </w:rPr>
        <w:t xml:space="preserve"> predictors </w:t>
      </w:r>
      <w:r w:rsidR="00C05D0D" w:rsidRPr="002B6F86">
        <w:rPr>
          <w:color w:val="000000" w:themeColor="text1"/>
          <w:sz w:val="24"/>
          <w:szCs w:val="24"/>
        </w:rPr>
        <w:t xml:space="preserve">of long term </w:t>
      </w:r>
      <w:r w:rsidR="0026168A" w:rsidRPr="002B6F86">
        <w:rPr>
          <w:color w:val="000000" w:themeColor="text1"/>
          <w:sz w:val="24"/>
          <w:szCs w:val="24"/>
        </w:rPr>
        <w:t xml:space="preserve">physical </w:t>
      </w:r>
      <w:proofErr w:type="spellStart"/>
      <w:r w:rsidR="00C05D0D" w:rsidRPr="002B6F86">
        <w:rPr>
          <w:color w:val="000000" w:themeColor="text1"/>
          <w:sz w:val="24"/>
          <w:szCs w:val="24"/>
        </w:rPr>
        <w:t>HRQoL</w:t>
      </w:r>
      <w:proofErr w:type="spellEnd"/>
      <w:r w:rsidR="00C05D0D" w:rsidRPr="002B6F86">
        <w:rPr>
          <w:color w:val="000000" w:themeColor="text1"/>
          <w:sz w:val="24"/>
          <w:szCs w:val="24"/>
        </w:rPr>
        <w:t xml:space="preserve"> once</w:t>
      </w:r>
      <w:r w:rsidR="00F2363A" w:rsidRPr="002B6F86">
        <w:rPr>
          <w:color w:val="000000" w:themeColor="text1"/>
          <w:sz w:val="24"/>
          <w:szCs w:val="24"/>
        </w:rPr>
        <w:t xml:space="preserve"> pre-existing comorbidity </w:t>
      </w:r>
      <w:r w:rsidR="00C05D0D" w:rsidRPr="002B6F86">
        <w:rPr>
          <w:color w:val="000000" w:themeColor="text1"/>
          <w:sz w:val="24"/>
          <w:szCs w:val="24"/>
        </w:rPr>
        <w:t>was taken into account</w:t>
      </w:r>
      <w:r w:rsidR="002C707E" w:rsidRPr="002B6F86">
        <w:rPr>
          <w:color w:val="000000" w:themeColor="text1"/>
          <w:sz w:val="24"/>
          <w:szCs w:val="24"/>
        </w:rPr>
        <w:t>.</w:t>
      </w:r>
      <w:r w:rsidR="00F2363A" w:rsidRPr="002B6F86">
        <w:rPr>
          <w:color w:val="000000" w:themeColor="text1"/>
          <w:sz w:val="24"/>
          <w:szCs w:val="24"/>
        </w:rPr>
        <w:t xml:space="preserve"> </w:t>
      </w:r>
      <w:r w:rsidR="00B63EB9" w:rsidRPr="002B6F86">
        <w:rPr>
          <w:color w:val="000000" w:themeColor="text1"/>
          <w:sz w:val="24"/>
          <w:szCs w:val="24"/>
        </w:rPr>
        <w:t>Recovery of physical function was most consistent in patients without pre-ICU comorbidity or with low</w:t>
      </w:r>
      <w:r w:rsidR="00517273" w:rsidRPr="002B6F86">
        <w:rPr>
          <w:color w:val="000000" w:themeColor="text1"/>
          <w:sz w:val="24"/>
          <w:szCs w:val="24"/>
        </w:rPr>
        <w:t>er</w:t>
      </w:r>
      <w:r w:rsidR="00B63EB9" w:rsidRPr="002B6F86">
        <w:rPr>
          <w:color w:val="000000" w:themeColor="text1"/>
          <w:sz w:val="24"/>
          <w:szCs w:val="24"/>
        </w:rPr>
        <w:t xml:space="preserve"> co-morbidity counts. </w:t>
      </w:r>
      <w:r w:rsidR="006B0F01" w:rsidRPr="002B6F86">
        <w:rPr>
          <w:color w:val="000000" w:themeColor="text1"/>
          <w:sz w:val="24"/>
          <w:szCs w:val="24"/>
        </w:rPr>
        <w:t>The almost</w:t>
      </w:r>
      <w:r w:rsidR="00E05F54" w:rsidRPr="002B6F86">
        <w:rPr>
          <w:color w:val="000000" w:themeColor="text1"/>
          <w:sz w:val="24"/>
          <w:szCs w:val="24"/>
        </w:rPr>
        <w:t xml:space="preserve"> identical findings for a range</w:t>
      </w:r>
      <w:r w:rsidR="006B0F01" w:rsidRPr="002B6F86">
        <w:rPr>
          <w:color w:val="000000" w:themeColor="text1"/>
          <w:sz w:val="24"/>
          <w:szCs w:val="24"/>
        </w:rPr>
        <w:t xml:space="preserve"> of patient reported symptom scores reflecting patient </w:t>
      </w:r>
      <w:r w:rsidR="00517273" w:rsidRPr="002B6F86">
        <w:rPr>
          <w:color w:val="000000" w:themeColor="text1"/>
          <w:sz w:val="24"/>
          <w:szCs w:val="24"/>
        </w:rPr>
        <w:t xml:space="preserve">health and </w:t>
      </w:r>
      <w:r w:rsidR="006B0F01" w:rsidRPr="002B6F86">
        <w:rPr>
          <w:color w:val="000000" w:themeColor="text1"/>
          <w:sz w:val="24"/>
          <w:szCs w:val="24"/>
        </w:rPr>
        <w:t>well</w:t>
      </w:r>
      <w:r w:rsidR="001D487E" w:rsidRPr="002B6F86">
        <w:rPr>
          <w:color w:val="000000" w:themeColor="text1"/>
          <w:sz w:val="24"/>
          <w:szCs w:val="24"/>
        </w:rPr>
        <w:t>-</w:t>
      </w:r>
      <w:r w:rsidR="006B0F01" w:rsidRPr="002B6F86">
        <w:rPr>
          <w:color w:val="000000" w:themeColor="text1"/>
          <w:sz w:val="24"/>
          <w:szCs w:val="24"/>
        </w:rPr>
        <w:t>being</w:t>
      </w:r>
      <w:r w:rsidR="00B63EB9" w:rsidRPr="002B6F86">
        <w:rPr>
          <w:color w:val="000000" w:themeColor="text1"/>
          <w:sz w:val="24"/>
          <w:szCs w:val="24"/>
        </w:rPr>
        <w:t xml:space="preserve"> provide</w:t>
      </w:r>
      <w:r w:rsidR="006B0F01" w:rsidRPr="002B6F86">
        <w:rPr>
          <w:color w:val="000000" w:themeColor="text1"/>
          <w:sz w:val="24"/>
          <w:szCs w:val="24"/>
        </w:rPr>
        <w:t xml:space="preserve"> </w:t>
      </w:r>
      <w:r w:rsidR="00B63EB9" w:rsidRPr="002B6F86">
        <w:rPr>
          <w:color w:val="000000" w:themeColor="text1"/>
          <w:sz w:val="24"/>
          <w:szCs w:val="24"/>
        </w:rPr>
        <w:t xml:space="preserve">indirect </w:t>
      </w:r>
      <w:r w:rsidR="006B0F01" w:rsidRPr="002B6F86">
        <w:rPr>
          <w:color w:val="000000" w:themeColor="text1"/>
          <w:sz w:val="24"/>
          <w:szCs w:val="24"/>
        </w:rPr>
        <w:t xml:space="preserve">validation </w:t>
      </w:r>
      <w:r w:rsidR="00B63EB9" w:rsidRPr="002B6F86">
        <w:rPr>
          <w:color w:val="000000" w:themeColor="text1"/>
          <w:sz w:val="24"/>
          <w:szCs w:val="24"/>
        </w:rPr>
        <w:t xml:space="preserve">for these </w:t>
      </w:r>
      <w:r w:rsidR="003766EE" w:rsidRPr="002B6F86">
        <w:rPr>
          <w:color w:val="000000" w:themeColor="text1"/>
          <w:sz w:val="24"/>
          <w:szCs w:val="24"/>
        </w:rPr>
        <w:t>findings</w:t>
      </w:r>
      <w:r w:rsidR="006B0F01" w:rsidRPr="002B6F86">
        <w:rPr>
          <w:color w:val="000000" w:themeColor="text1"/>
          <w:sz w:val="24"/>
          <w:szCs w:val="24"/>
        </w:rPr>
        <w:t>.</w:t>
      </w:r>
    </w:p>
    <w:p w14:paraId="1F40668A" w14:textId="3AB5B5A0" w:rsidR="003B63B0" w:rsidRPr="002B6F86" w:rsidRDefault="00393FA3" w:rsidP="00B34E09">
      <w:pPr>
        <w:spacing w:after="0" w:line="480" w:lineRule="auto"/>
        <w:ind w:firstLine="720"/>
        <w:jc w:val="both"/>
        <w:rPr>
          <w:color w:val="000000" w:themeColor="text1"/>
          <w:sz w:val="24"/>
          <w:szCs w:val="24"/>
        </w:rPr>
      </w:pPr>
      <w:r w:rsidRPr="002B6F86">
        <w:rPr>
          <w:color w:val="000000" w:themeColor="text1"/>
          <w:sz w:val="24"/>
          <w:szCs w:val="24"/>
        </w:rPr>
        <w:t>Strength</w:t>
      </w:r>
      <w:r w:rsidR="003766EE" w:rsidRPr="002B6F86">
        <w:rPr>
          <w:color w:val="000000" w:themeColor="text1"/>
          <w:sz w:val="24"/>
          <w:szCs w:val="24"/>
        </w:rPr>
        <w:t xml:space="preserve">s of </w:t>
      </w:r>
      <w:r w:rsidR="00517273" w:rsidRPr="002B6F86">
        <w:rPr>
          <w:color w:val="000000" w:themeColor="text1"/>
          <w:sz w:val="24"/>
          <w:szCs w:val="24"/>
        </w:rPr>
        <w:t>our</w:t>
      </w:r>
      <w:r w:rsidR="003766EE" w:rsidRPr="002B6F86">
        <w:rPr>
          <w:color w:val="000000" w:themeColor="text1"/>
          <w:sz w:val="24"/>
          <w:szCs w:val="24"/>
        </w:rPr>
        <w:t xml:space="preserve"> study include </w:t>
      </w:r>
      <w:r w:rsidRPr="002B6F86">
        <w:rPr>
          <w:color w:val="000000" w:themeColor="text1"/>
          <w:sz w:val="24"/>
          <w:szCs w:val="24"/>
        </w:rPr>
        <w:t xml:space="preserve">the </w:t>
      </w:r>
      <w:r w:rsidR="00517273" w:rsidRPr="002B6F86">
        <w:rPr>
          <w:color w:val="000000" w:themeColor="text1"/>
          <w:sz w:val="24"/>
          <w:szCs w:val="24"/>
        </w:rPr>
        <w:t>use</w:t>
      </w:r>
      <w:r w:rsidRPr="002B6F86">
        <w:rPr>
          <w:color w:val="000000" w:themeColor="text1"/>
          <w:sz w:val="24"/>
          <w:szCs w:val="24"/>
        </w:rPr>
        <w:t xml:space="preserve"> of an externally valid </w:t>
      </w:r>
      <w:r w:rsidR="00BC3ADF" w:rsidRPr="002B6F86">
        <w:rPr>
          <w:color w:val="000000" w:themeColor="text1"/>
          <w:sz w:val="24"/>
          <w:szCs w:val="24"/>
        </w:rPr>
        <w:t xml:space="preserve">prospectively included </w:t>
      </w:r>
      <w:r w:rsidRPr="002B6F86">
        <w:rPr>
          <w:color w:val="000000" w:themeColor="text1"/>
          <w:sz w:val="24"/>
          <w:szCs w:val="24"/>
        </w:rPr>
        <w:t>sample of ICU survivors</w:t>
      </w:r>
      <w:r w:rsidR="00517273" w:rsidRPr="002B6F86">
        <w:rPr>
          <w:color w:val="000000" w:themeColor="text1"/>
          <w:sz w:val="24"/>
          <w:szCs w:val="24"/>
        </w:rPr>
        <w:t xml:space="preserve"> from</w:t>
      </w:r>
      <w:r w:rsidR="005C77A6" w:rsidRPr="002B6F86">
        <w:rPr>
          <w:color w:val="000000" w:themeColor="text1"/>
          <w:sz w:val="24"/>
          <w:szCs w:val="24"/>
        </w:rPr>
        <w:t xml:space="preserve"> a randomised trial,</w:t>
      </w:r>
      <w:r w:rsidR="00575B3F" w:rsidRPr="002B6F86">
        <w:rPr>
          <w:color w:val="000000" w:themeColor="text1"/>
          <w:sz w:val="24"/>
          <w:szCs w:val="24"/>
        </w:rPr>
        <w:t xml:space="preserve"> </w:t>
      </w:r>
      <w:r w:rsidR="00BC3ADF" w:rsidRPr="002B6F86">
        <w:rPr>
          <w:color w:val="000000" w:themeColor="text1"/>
          <w:sz w:val="24"/>
          <w:szCs w:val="24"/>
        </w:rPr>
        <w:t>but</w:t>
      </w:r>
      <w:r w:rsidR="00575B3F" w:rsidRPr="002B6F86">
        <w:rPr>
          <w:color w:val="000000" w:themeColor="text1"/>
          <w:sz w:val="24"/>
          <w:szCs w:val="24"/>
        </w:rPr>
        <w:t xml:space="preserve"> </w:t>
      </w:r>
      <w:r w:rsidR="00C2242B" w:rsidRPr="002B6F86">
        <w:rPr>
          <w:color w:val="000000" w:themeColor="text1"/>
          <w:sz w:val="24"/>
          <w:szCs w:val="24"/>
        </w:rPr>
        <w:t xml:space="preserve">caution </w:t>
      </w:r>
      <w:r w:rsidR="00575B3F" w:rsidRPr="002B6F86">
        <w:rPr>
          <w:color w:val="000000" w:themeColor="text1"/>
          <w:sz w:val="24"/>
          <w:szCs w:val="24"/>
        </w:rPr>
        <w:t>is still advised when extr</w:t>
      </w:r>
      <w:r w:rsidR="006043EF" w:rsidRPr="002B6F86">
        <w:rPr>
          <w:color w:val="000000" w:themeColor="text1"/>
          <w:sz w:val="24"/>
          <w:szCs w:val="24"/>
        </w:rPr>
        <w:t>apolating to other ICU cohorts. Exposures and outcome</w:t>
      </w:r>
      <w:r w:rsidR="00C2242B" w:rsidRPr="002B6F86">
        <w:rPr>
          <w:color w:val="000000" w:themeColor="text1"/>
          <w:sz w:val="24"/>
          <w:szCs w:val="24"/>
        </w:rPr>
        <w:t>s</w:t>
      </w:r>
      <w:r w:rsidR="006043EF" w:rsidRPr="002B6F86">
        <w:rPr>
          <w:color w:val="000000" w:themeColor="text1"/>
          <w:sz w:val="24"/>
          <w:szCs w:val="24"/>
        </w:rPr>
        <w:t xml:space="preserve"> were measured prospectively</w:t>
      </w:r>
      <w:r w:rsidR="00BC3ADF" w:rsidRPr="002B6F86">
        <w:rPr>
          <w:color w:val="000000" w:themeColor="text1"/>
          <w:sz w:val="24"/>
          <w:szCs w:val="24"/>
        </w:rPr>
        <w:t xml:space="preserve"> using valid tools</w:t>
      </w:r>
      <w:r w:rsidR="006043EF" w:rsidRPr="002B6F86">
        <w:rPr>
          <w:color w:val="000000" w:themeColor="text1"/>
          <w:sz w:val="24"/>
          <w:szCs w:val="24"/>
        </w:rPr>
        <w:t xml:space="preserve">.  In particular, </w:t>
      </w:r>
      <w:r w:rsidRPr="002B6F86">
        <w:rPr>
          <w:color w:val="000000" w:themeColor="text1"/>
          <w:sz w:val="24"/>
          <w:szCs w:val="24"/>
        </w:rPr>
        <w:t xml:space="preserve">comorbidity count was collected </w:t>
      </w:r>
      <w:r w:rsidR="00575B3F" w:rsidRPr="002B6F86">
        <w:rPr>
          <w:color w:val="000000" w:themeColor="text1"/>
          <w:sz w:val="24"/>
          <w:szCs w:val="24"/>
        </w:rPr>
        <w:t xml:space="preserve">prospectively in all patients </w:t>
      </w:r>
      <w:r w:rsidRPr="002B6F86">
        <w:rPr>
          <w:color w:val="000000" w:themeColor="text1"/>
          <w:sz w:val="24"/>
          <w:szCs w:val="24"/>
        </w:rPr>
        <w:t>at the time of enrolment</w:t>
      </w:r>
      <w:r w:rsidR="00575B3F" w:rsidRPr="002B6F86">
        <w:rPr>
          <w:color w:val="000000" w:themeColor="text1"/>
          <w:sz w:val="24"/>
          <w:szCs w:val="24"/>
        </w:rPr>
        <w:t xml:space="preserve"> </w:t>
      </w:r>
      <w:r w:rsidRPr="002B6F86">
        <w:rPr>
          <w:color w:val="000000" w:themeColor="text1"/>
          <w:sz w:val="24"/>
          <w:szCs w:val="24"/>
        </w:rPr>
        <w:t xml:space="preserve">by </w:t>
      </w:r>
      <w:r w:rsidR="00575B3F" w:rsidRPr="002B6F86">
        <w:rPr>
          <w:color w:val="000000" w:themeColor="text1"/>
          <w:sz w:val="24"/>
          <w:szCs w:val="24"/>
        </w:rPr>
        <w:t>careful</w:t>
      </w:r>
      <w:r w:rsidRPr="002B6F86">
        <w:rPr>
          <w:color w:val="000000" w:themeColor="text1"/>
          <w:sz w:val="24"/>
          <w:szCs w:val="24"/>
        </w:rPr>
        <w:t xml:space="preserve"> review of medical notes, and direct questioning of patient relatives</w:t>
      </w:r>
      <w:r w:rsidR="00BC3ADF" w:rsidRPr="002B6F86">
        <w:rPr>
          <w:color w:val="000000" w:themeColor="text1"/>
          <w:sz w:val="24"/>
          <w:szCs w:val="24"/>
        </w:rPr>
        <w:t>;</w:t>
      </w:r>
      <w:r w:rsidRPr="002B6F86">
        <w:rPr>
          <w:color w:val="000000" w:themeColor="text1"/>
          <w:sz w:val="24"/>
          <w:szCs w:val="24"/>
        </w:rPr>
        <w:t xml:space="preserve"> </w:t>
      </w:r>
      <w:r w:rsidR="00575B3F" w:rsidRPr="002B6F86">
        <w:rPr>
          <w:color w:val="000000" w:themeColor="text1"/>
          <w:sz w:val="24"/>
          <w:szCs w:val="24"/>
        </w:rPr>
        <w:t>therefore</w:t>
      </w:r>
      <w:r w:rsidR="00BC3ADF" w:rsidRPr="002B6F86">
        <w:rPr>
          <w:color w:val="000000" w:themeColor="text1"/>
          <w:sz w:val="24"/>
          <w:szCs w:val="24"/>
        </w:rPr>
        <w:t>,</w:t>
      </w:r>
      <w:r w:rsidR="00575B3F" w:rsidRPr="002B6F86">
        <w:rPr>
          <w:color w:val="000000" w:themeColor="text1"/>
          <w:sz w:val="24"/>
          <w:szCs w:val="24"/>
        </w:rPr>
        <w:t xml:space="preserve"> the accuracy of the FCI comorbidity is likely to be high.  Assessment of illness severity factors was complete, and </w:t>
      </w:r>
      <w:r w:rsidR="00BC3ADF" w:rsidRPr="002B6F86">
        <w:rPr>
          <w:color w:val="000000" w:themeColor="text1"/>
          <w:sz w:val="24"/>
          <w:szCs w:val="24"/>
        </w:rPr>
        <w:t xml:space="preserve">used measures that are known to </w:t>
      </w:r>
      <w:r w:rsidR="00575B3F" w:rsidRPr="002B6F86">
        <w:rPr>
          <w:color w:val="000000" w:themeColor="text1"/>
          <w:sz w:val="24"/>
          <w:szCs w:val="24"/>
        </w:rPr>
        <w:t xml:space="preserve">affect </w:t>
      </w:r>
      <w:r w:rsidR="00BC3ADF" w:rsidRPr="002B6F86">
        <w:rPr>
          <w:color w:val="000000" w:themeColor="text1"/>
          <w:sz w:val="24"/>
          <w:szCs w:val="24"/>
        </w:rPr>
        <w:t xml:space="preserve">short-term </w:t>
      </w:r>
      <w:r w:rsidR="00575B3F" w:rsidRPr="002B6F86">
        <w:rPr>
          <w:color w:val="000000" w:themeColor="text1"/>
          <w:sz w:val="24"/>
          <w:szCs w:val="24"/>
        </w:rPr>
        <w:t>ICU outcome</w:t>
      </w:r>
      <w:r w:rsidR="00BC3ADF" w:rsidRPr="002B6F86">
        <w:rPr>
          <w:color w:val="000000" w:themeColor="text1"/>
          <w:sz w:val="24"/>
          <w:szCs w:val="24"/>
        </w:rPr>
        <w:t>s</w:t>
      </w:r>
      <w:r w:rsidR="00D36B37" w:rsidRPr="002B6F86">
        <w:rPr>
          <w:color w:val="000000" w:themeColor="text1"/>
          <w:sz w:val="24"/>
          <w:szCs w:val="24"/>
        </w:rPr>
        <w:t xml:space="preserve">. </w:t>
      </w:r>
    </w:p>
    <w:p w14:paraId="041BD29A" w14:textId="545CB5E1" w:rsidR="00EC781F" w:rsidRPr="002B6F86" w:rsidRDefault="00E7751B" w:rsidP="00B34E09">
      <w:pPr>
        <w:spacing w:after="0" w:line="480" w:lineRule="auto"/>
        <w:ind w:firstLine="720"/>
        <w:jc w:val="both"/>
        <w:rPr>
          <w:color w:val="000000" w:themeColor="text1"/>
          <w:sz w:val="24"/>
          <w:szCs w:val="24"/>
        </w:rPr>
      </w:pPr>
      <w:r w:rsidRPr="002B6F86">
        <w:rPr>
          <w:color w:val="000000" w:themeColor="text1"/>
          <w:sz w:val="24"/>
          <w:szCs w:val="24"/>
        </w:rPr>
        <w:t>Several</w:t>
      </w:r>
      <w:r w:rsidR="003B63B0" w:rsidRPr="002B6F86">
        <w:rPr>
          <w:color w:val="000000" w:themeColor="text1"/>
          <w:sz w:val="24"/>
          <w:szCs w:val="24"/>
        </w:rPr>
        <w:t xml:space="preserve"> limitations </w:t>
      </w:r>
      <w:r w:rsidR="00C2242B" w:rsidRPr="002B6F86">
        <w:rPr>
          <w:color w:val="000000" w:themeColor="text1"/>
          <w:sz w:val="24"/>
          <w:szCs w:val="24"/>
        </w:rPr>
        <w:t>should be noted</w:t>
      </w:r>
      <w:r w:rsidR="003B63B0" w:rsidRPr="002B6F86">
        <w:rPr>
          <w:color w:val="000000" w:themeColor="text1"/>
          <w:sz w:val="24"/>
          <w:szCs w:val="24"/>
        </w:rPr>
        <w:t xml:space="preserve">. </w:t>
      </w:r>
      <w:proofErr w:type="gramStart"/>
      <w:r w:rsidR="00867A79" w:rsidRPr="002B6F86">
        <w:rPr>
          <w:color w:val="000000" w:themeColor="text1"/>
          <w:sz w:val="24"/>
          <w:szCs w:val="24"/>
        </w:rPr>
        <w:t>A</w:t>
      </w:r>
      <w:r w:rsidRPr="002B6F86">
        <w:rPr>
          <w:color w:val="000000" w:themeColor="text1"/>
          <w:sz w:val="24"/>
          <w:szCs w:val="24"/>
        </w:rPr>
        <w:t xml:space="preserve"> </w:t>
      </w:r>
      <w:r w:rsidR="009C7079" w:rsidRPr="002B6F86">
        <w:rPr>
          <w:color w:val="000000" w:themeColor="text1"/>
          <w:sz w:val="24"/>
          <w:szCs w:val="24"/>
        </w:rPr>
        <w:t xml:space="preserve"> power</w:t>
      </w:r>
      <w:proofErr w:type="gramEnd"/>
      <w:r w:rsidR="009C7079" w:rsidRPr="002B6F86">
        <w:rPr>
          <w:color w:val="000000" w:themeColor="text1"/>
          <w:sz w:val="24"/>
          <w:szCs w:val="24"/>
        </w:rPr>
        <w:t xml:space="preserve"> calculation was not conducted</w:t>
      </w:r>
      <w:r w:rsidR="003B63B0" w:rsidRPr="002B6F86">
        <w:rPr>
          <w:color w:val="000000" w:themeColor="text1"/>
          <w:sz w:val="24"/>
          <w:szCs w:val="24"/>
        </w:rPr>
        <w:t xml:space="preserve"> making it</w:t>
      </w:r>
      <w:r w:rsidR="00D17B1B" w:rsidRPr="002B6F86">
        <w:rPr>
          <w:color w:val="000000" w:themeColor="text1"/>
          <w:sz w:val="24"/>
          <w:szCs w:val="24"/>
        </w:rPr>
        <w:t xml:space="preserve"> possible</w:t>
      </w:r>
      <w:r w:rsidRPr="002B6F86">
        <w:rPr>
          <w:color w:val="000000" w:themeColor="text1"/>
          <w:sz w:val="24"/>
          <w:szCs w:val="24"/>
        </w:rPr>
        <w:t xml:space="preserve"> (but unlikely given the small confidence intervals)</w:t>
      </w:r>
      <w:r w:rsidR="00D17B1B" w:rsidRPr="002B6F86">
        <w:rPr>
          <w:color w:val="000000" w:themeColor="text1"/>
          <w:sz w:val="24"/>
          <w:szCs w:val="24"/>
        </w:rPr>
        <w:t xml:space="preserve"> that</w:t>
      </w:r>
      <w:r w:rsidRPr="002B6F86">
        <w:rPr>
          <w:color w:val="000000" w:themeColor="text1"/>
          <w:sz w:val="24"/>
          <w:szCs w:val="24"/>
        </w:rPr>
        <w:t xml:space="preserve"> small</w:t>
      </w:r>
      <w:r w:rsidR="00D17B1B" w:rsidRPr="002B6F86">
        <w:rPr>
          <w:color w:val="000000" w:themeColor="text1"/>
          <w:sz w:val="24"/>
          <w:szCs w:val="24"/>
        </w:rPr>
        <w:t xml:space="preserve"> </w:t>
      </w:r>
      <w:r w:rsidR="003B63B0" w:rsidRPr="002B6F86">
        <w:rPr>
          <w:color w:val="000000" w:themeColor="text1"/>
          <w:sz w:val="24"/>
          <w:szCs w:val="24"/>
        </w:rPr>
        <w:t>sample size</w:t>
      </w:r>
      <w:r w:rsidR="00D17B1B" w:rsidRPr="002B6F86">
        <w:rPr>
          <w:color w:val="000000" w:themeColor="text1"/>
          <w:sz w:val="24"/>
          <w:szCs w:val="24"/>
        </w:rPr>
        <w:t xml:space="preserve"> could </w:t>
      </w:r>
      <w:r w:rsidR="003B63B0" w:rsidRPr="002B6F86">
        <w:rPr>
          <w:color w:val="000000" w:themeColor="text1"/>
          <w:sz w:val="24"/>
          <w:szCs w:val="24"/>
        </w:rPr>
        <w:t>explain the lack of association between</w:t>
      </w:r>
      <w:r w:rsidR="00391532" w:rsidRPr="002B6F86">
        <w:rPr>
          <w:color w:val="000000" w:themeColor="text1"/>
          <w:sz w:val="24"/>
          <w:szCs w:val="24"/>
        </w:rPr>
        <w:t xml:space="preserve"> </w:t>
      </w:r>
      <w:r w:rsidR="003B63B0" w:rsidRPr="002B6F86">
        <w:rPr>
          <w:color w:val="000000" w:themeColor="text1"/>
          <w:sz w:val="24"/>
          <w:szCs w:val="24"/>
        </w:rPr>
        <w:t>critical illness</w:t>
      </w:r>
      <w:r w:rsidR="00391532" w:rsidRPr="002B6F86">
        <w:rPr>
          <w:color w:val="000000" w:themeColor="text1"/>
          <w:sz w:val="24"/>
          <w:szCs w:val="24"/>
        </w:rPr>
        <w:t xml:space="preserve"> </w:t>
      </w:r>
      <w:r w:rsidR="003B63B0" w:rsidRPr="002B6F86">
        <w:rPr>
          <w:color w:val="000000" w:themeColor="text1"/>
          <w:sz w:val="24"/>
          <w:szCs w:val="24"/>
        </w:rPr>
        <w:t xml:space="preserve">severity and </w:t>
      </w:r>
      <w:proofErr w:type="spellStart"/>
      <w:r w:rsidR="003B63B0" w:rsidRPr="002B6F86">
        <w:rPr>
          <w:color w:val="000000" w:themeColor="text1"/>
          <w:sz w:val="24"/>
          <w:szCs w:val="24"/>
        </w:rPr>
        <w:t>HRQoL</w:t>
      </w:r>
      <w:proofErr w:type="spellEnd"/>
      <w:r w:rsidR="00EC781F" w:rsidRPr="002B6F86">
        <w:rPr>
          <w:color w:val="000000" w:themeColor="text1"/>
          <w:sz w:val="24"/>
          <w:szCs w:val="24"/>
        </w:rPr>
        <w:t xml:space="preserve">. </w:t>
      </w:r>
      <w:r w:rsidRPr="002B6F86">
        <w:rPr>
          <w:color w:val="000000" w:themeColor="text1"/>
          <w:sz w:val="24"/>
          <w:szCs w:val="24"/>
        </w:rPr>
        <w:t>Missing d</w:t>
      </w:r>
      <w:r w:rsidR="00F43E3A" w:rsidRPr="002B6F86">
        <w:rPr>
          <w:color w:val="000000" w:themeColor="text1"/>
          <w:sz w:val="24"/>
          <w:szCs w:val="24"/>
        </w:rPr>
        <w:t xml:space="preserve">ata </w:t>
      </w:r>
      <w:r w:rsidRPr="002B6F86">
        <w:rPr>
          <w:color w:val="000000" w:themeColor="text1"/>
          <w:sz w:val="24"/>
          <w:szCs w:val="24"/>
        </w:rPr>
        <w:t xml:space="preserve">may have biased the analysis despite our </w:t>
      </w:r>
      <w:r w:rsidR="00BC3ADF" w:rsidRPr="002B6F86">
        <w:rPr>
          <w:color w:val="000000" w:themeColor="text1"/>
          <w:sz w:val="24"/>
          <w:szCs w:val="24"/>
        </w:rPr>
        <w:t xml:space="preserve">included </w:t>
      </w:r>
      <w:r w:rsidRPr="002B6F86">
        <w:rPr>
          <w:color w:val="000000" w:themeColor="text1"/>
          <w:sz w:val="24"/>
          <w:szCs w:val="24"/>
        </w:rPr>
        <w:t>patients being similar</w:t>
      </w:r>
      <w:r w:rsidR="00BC3ADF" w:rsidRPr="002B6F86">
        <w:rPr>
          <w:color w:val="000000" w:themeColor="text1"/>
          <w:sz w:val="24"/>
          <w:szCs w:val="24"/>
        </w:rPr>
        <w:t xml:space="preserve"> to those without complete outcome data</w:t>
      </w:r>
      <w:r w:rsidRPr="002B6F86">
        <w:rPr>
          <w:color w:val="000000" w:themeColor="text1"/>
          <w:sz w:val="24"/>
          <w:szCs w:val="24"/>
        </w:rPr>
        <w:t xml:space="preserve"> across all </w:t>
      </w:r>
      <w:r w:rsidR="00BC3ADF" w:rsidRPr="002B6F86">
        <w:rPr>
          <w:color w:val="000000" w:themeColor="text1"/>
          <w:sz w:val="24"/>
          <w:szCs w:val="24"/>
        </w:rPr>
        <w:t>baseline</w:t>
      </w:r>
      <w:r w:rsidRPr="002B6F86">
        <w:rPr>
          <w:color w:val="000000" w:themeColor="text1"/>
          <w:sz w:val="24"/>
          <w:szCs w:val="24"/>
        </w:rPr>
        <w:t xml:space="preserve"> variables</w:t>
      </w:r>
      <w:r w:rsidR="00BC3ADF" w:rsidRPr="002B6F86">
        <w:rPr>
          <w:color w:val="000000" w:themeColor="text1"/>
          <w:sz w:val="24"/>
          <w:szCs w:val="24"/>
        </w:rPr>
        <w:t xml:space="preserve"> measured</w:t>
      </w:r>
      <w:r w:rsidR="00F43E3A" w:rsidRPr="002B6F86">
        <w:rPr>
          <w:color w:val="000000" w:themeColor="text1"/>
          <w:sz w:val="24"/>
          <w:szCs w:val="24"/>
        </w:rPr>
        <w:t xml:space="preserve">. SF12v2 was used </w:t>
      </w:r>
      <w:r w:rsidRPr="002B6F86">
        <w:rPr>
          <w:color w:val="000000" w:themeColor="text1"/>
          <w:sz w:val="24"/>
          <w:szCs w:val="24"/>
        </w:rPr>
        <w:t xml:space="preserve">in preference to the more detailed SF-36 for pragmatic reasons </w:t>
      </w:r>
      <w:r w:rsidR="006043EF" w:rsidRPr="002B6F86">
        <w:rPr>
          <w:color w:val="000000" w:themeColor="text1"/>
          <w:sz w:val="24"/>
          <w:szCs w:val="24"/>
        </w:rPr>
        <w:t xml:space="preserve">(taking less time and concentration to complete) </w:t>
      </w:r>
      <w:r w:rsidRPr="002B6F86">
        <w:rPr>
          <w:color w:val="000000" w:themeColor="text1"/>
          <w:sz w:val="24"/>
          <w:szCs w:val="24"/>
        </w:rPr>
        <w:t>to reduce attrition</w:t>
      </w:r>
      <w:r w:rsidR="00BC3ADF" w:rsidRPr="002B6F86">
        <w:rPr>
          <w:color w:val="000000" w:themeColor="text1"/>
          <w:sz w:val="24"/>
          <w:szCs w:val="24"/>
        </w:rPr>
        <w:t xml:space="preserve"> bias</w:t>
      </w:r>
      <w:r w:rsidRPr="002B6F86">
        <w:rPr>
          <w:color w:val="000000" w:themeColor="text1"/>
          <w:sz w:val="24"/>
          <w:szCs w:val="24"/>
        </w:rPr>
        <w:t xml:space="preserve">, but may have reduced the resolution of our analysis. </w:t>
      </w:r>
      <w:r w:rsidR="0069744F" w:rsidRPr="002B6F86">
        <w:rPr>
          <w:color w:val="000000" w:themeColor="text1"/>
          <w:sz w:val="24"/>
          <w:szCs w:val="24"/>
        </w:rPr>
        <w:t>T</w:t>
      </w:r>
      <w:r w:rsidRPr="002B6F86">
        <w:rPr>
          <w:color w:val="000000" w:themeColor="text1"/>
          <w:sz w:val="24"/>
          <w:szCs w:val="24"/>
        </w:rPr>
        <w:t xml:space="preserve">he strong relationship between severe subjective malnutrition and less severe </w:t>
      </w:r>
      <w:r w:rsidR="00221BC5" w:rsidRPr="002B6F86">
        <w:rPr>
          <w:color w:val="000000" w:themeColor="text1"/>
          <w:sz w:val="24"/>
          <w:szCs w:val="24"/>
        </w:rPr>
        <w:t>p</w:t>
      </w:r>
      <w:r w:rsidR="00867A79" w:rsidRPr="002B6F86">
        <w:rPr>
          <w:color w:val="000000" w:themeColor="text1"/>
          <w:sz w:val="24"/>
          <w:szCs w:val="24"/>
        </w:rPr>
        <w:t xml:space="preserve">hysical </w:t>
      </w:r>
      <w:r w:rsidRPr="002B6F86">
        <w:rPr>
          <w:color w:val="000000" w:themeColor="text1"/>
          <w:sz w:val="24"/>
          <w:szCs w:val="24"/>
        </w:rPr>
        <w:t xml:space="preserve">symptoms is </w:t>
      </w:r>
      <w:r w:rsidR="00221BC5" w:rsidRPr="002B6F86">
        <w:rPr>
          <w:color w:val="000000" w:themeColor="text1"/>
          <w:sz w:val="24"/>
          <w:szCs w:val="24"/>
        </w:rPr>
        <w:t>difficult to</w:t>
      </w:r>
      <w:r w:rsidRPr="002B6F86">
        <w:rPr>
          <w:color w:val="000000" w:themeColor="text1"/>
          <w:sz w:val="24"/>
          <w:szCs w:val="24"/>
        </w:rPr>
        <w:t xml:space="preserve"> explain but could relate to the limitations of the SGA measure in oedematous post-ICU patients </w:t>
      </w:r>
      <w:r w:rsidR="00082687" w:rsidRPr="002B6F86">
        <w:rPr>
          <w:color w:val="000000" w:themeColor="text1"/>
          <w:sz w:val="24"/>
          <w:szCs w:val="24"/>
        </w:rPr>
        <w:t xml:space="preserve">where signs of malnutrition </w:t>
      </w:r>
      <w:r w:rsidR="00867A79" w:rsidRPr="002B6F86">
        <w:rPr>
          <w:color w:val="000000" w:themeColor="text1"/>
          <w:sz w:val="24"/>
          <w:szCs w:val="24"/>
        </w:rPr>
        <w:t>may be masked by oedema.</w:t>
      </w:r>
      <w:r w:rsidR="0069744F" w:rsidRPr="002B6F86">
        <w:rPr>
          <w:color w:val="000000" w:themeColor="text1"/>
          <w:sz w:val="24"/>
          <w:szCs w:val="24"/>
        </w:rPr>
        <w:t xml:space="preserve"> </w:t>
      </w:r>
      <w:r w:rsidR="001C289C" w:rsidRPr="002B6F86">
        <w:rPr>
          <w:color w:val="000000" w:themeColor="text1"/>
          <w:sz w:val="24"/>
          <w:szCs w:val="24"/>
        </w:rPr>
        <w:t xml:space="preserve">Finally, </w:t>
      </w:r>
      <w:r w:rsidR="00D20AC0" w:rsidRPr="002B6F86">
        <w:rPr>
          <w:color w:val="000000" w:themeColor="text1"/>
          <w:sz w:val="24"/>
          <w:szCs w:val="24"/>
        </w:rPr>
        <w:t xml:space="preserve">other factors such as </w:t>
      </w:r>
      <w:r w:rsidR="001C289C" w:rsidRPr="002B6F86">
        <w:rPr>
          <w:color w:val="000000" w:themeColor="text1"/>
          <w:sz w:val="24"/>
          <w:szCs w:val="24"/>
        </w:rPr>
        <w:t xml:space="preserve">social </w:t>
      </w:r>
      <w:proofErr w:type="gramStart"/>
      <w:r w:rsidR="001C289C" w:rsidRPr="002B6F86">
        <w:rPr>
          <w:color w:val="000000" w:themeColor="text1"/>
          <w:sz w:val="24"/>
          <w:szCs w:val="24"/>
        </w:rPr>
        <w:t xml:space="preserve">integration </w:t>
      </w:r>
      <w:r w:rsidR="00D20AC0" w:rsidRPr="002B6F86">
        <w:rPr>
          <w:color w:val="000000" w:themeColor="text1"/>
          <w:sz w:val="24"/>
          <w:szCs w:val="24"/>
        </w:rPr>
        <w:t xml:space="preserve"> and</w:t>
      </w:r>
      <w:proofErr w:type="gramEnd"/>
      <w:r w:rsidR="00D20AC0" w:rsidRPr="002B6F86">
        <w:rPr>
          <w:color w:val="000000" w:themeColor="text1"/>
          <w:sz w:val="24"/>
          <w:szCs w:val="24"/>
        </w:rPr>
        <w:t xml:space="preserve"> family support </w:t>
      </w:r>
      <w:r w:rsidR="001C289C" w:rsidRPr="002B6F86">
        <w:rPr>
          <w:color w:val="000000" w:themeColor="text1"/>
          <w:sz w:val="24"/>
          <w:szCs w:val="24"/>
        </w:rPr>
        <w:t xml:space="preserve">in the months following </w:t>
      </w:r>
      <w:r w:rsidR="001C289C" w:rsidRPr="002B6F86">
        <w:rPr>
          <w:color w:val="000000" w:themeColor="text1"/>
          <w:sz w:val="24"/>
          <w:szCs w:val="24"/>
        </w:rPr>
        <w:lastRenderedPageBreak/>
        <w:t xml:space="preserve">ICU discharge </w:t>
      </w:r>
      <w:r w:rsidR="00D20AC0" w:rsidRPr="002B6F86">
        <w:rPr>
          <w:color w:val="000000" w:themeColor="text1"/>
          <w:sz w:val="24"/>
          <w:szCs w:val="24"/>
        </w:rPr>
        <w:t>are</w:t>
      </w:r>
      <w:r w:rsidR="001C289C" w:rsidRPr="002B6F86">
        <w:rPr>
          <w:color w:val="000000" w:themeColor="text1"/>
          <w:sz w:val="24"/>
          <w:szCs w:val="24"/>
        </w:rPr>
        <w:t xml:space="preserve"> known to be associated with </w:t>
      </w:r>
      <w:proofErr w:type="spellStart"/>
      <w:r w:rsidR="001C289C" w:rsidRPr="002B6F86">
        <w:rPr>
          <w:color w:val="000000" w:themeColor="text1"/>
          <w:sz w:val="24"/>
          <w:szCs w:val="24"/>
        </w:rPr>
        <w:t>HRQoL</w:t>
      </w:r>
      <w:proofErr w:type="spellEnd"/>
      <w:r w:rsidR="001C289C" w:rsidRPr="002B6F86">
        <w:rPr>
          <w:color w:val="000000" w:themeColor="text1"/>
          <w:sz w:val="24"/>
          <w:szCs w:val="24"/>
        </w:rPr>
        <w:t xml:space="preserve"> and may have been the cause of (or consequence of) reduced </w:t>
      </w:r>
      <w:proofErr w:type="spellStart"/>
      <w:r w:rsidR="001C289C" w:rsidRPr="002B6F86">
        <w:rPr>
          <w:color w:val="000000" w:themeColor="text1"/>
          <w:sz w:val="24"/>
          <w:szCs w:val="24"/>
        </w:rPr>
        <w:t>HRQoL</w:t>
      </w:r>
      <w:proofErr w:type="spellEnd"/>
      <w:r w:rsidR="001C289C" w:rsidRPr="002B6F86">
        <w:rPr>
          <w:color w:val="000000" w:themeColor="text1"/>
          <w:sz w:val="24"/>
          <w:szCs w:val="24"/>
        </w:rPr>
        <w:t xml:space="preserve"> in our patients.  We were unable to explore this further in our </w:t>
      </w:r>
      <w:proofErr w:type="gramStart"/>
      <w:r w:rsidR="00FF3B7D">
        <w:rPr>
          <w:color w:val="000000" w:themeColor="text1"/>
          <w:sz w:val="24"/>
          <w:szCs w:val="24"/>
        </w:rPr>
        <w:t>study</w:t>
      </w:r>
      <w:r w:rsidR="001C289C" w:rsidRPr="002B6F86">
        <w:rPr>
          <w:color w:val="000000" w:themeColor="text1"/>
          <w:sz w:val="24"/>
          <w:szCs w:val="24"/>
        </w:rPr>
        <w:t>.</w:t>
      </w:r>
      <w:r w:rsidR="0094355C">
        <w:rPr>
          <w:noProof/>
          <w:color w:val="000000" w:themeColor="text1"/>
          <w:sz w:val="24"/>
          <w:szCs w:val="24"/>
        </w:rPr>
        <w:t>(</w:t>
      </w:r>
      <w:proofErr w:type="gramEnd"/>
      <w:r w:rsidR="0094355C">
        <w:rPr>
          <w:noProof/>
          <w:color w:val="000000" w:themeColor="text1"/>
          <w:sz w:val="24"/>
          <w:szCs w:val="24"/>
        </w:rPr>
        <w:t>26)</w:t>
      </w:r>
    </w:p>
    <w:p w14:paraId="526BAA77" w14:textId="516C48FC" w:rsidR="00DE64E1" w:rsidRPr="002B6F86" w:rsidRDefault="002B6F86">
      <w:pPr>
        <w:spacing w:line="480" w:lineRule="auto"/>
        <w:jc w:val="both"/>
        <w:rPr>
          <w:color w:val="000000" w:themeColor="text1"/>
          <w:sz w:val="24"/>
          <w:szCs w:val="24"/>
        </w:rPr>
      </w:pPr>
      <w:r w:rsidRPr="002B6F86">
        <w:rPr>
          <w:color w:val="000000" w:themeColor="text1"/>
          <w:sz w:val="24"/>
          <w:szCs w:val="24"/>
        </w:rPr>
        <w:tab/>
      </w:r>
      <w:r w:rsidR="00A0770C" w:rsidRPr="002B6F86">
        <w:rPr>
          <w:color w:val="000000" w:themeColor="text1"/>
          <w:sz w:val="24"/>
          <w:szCs w:val="24"/>
        </w:rPr>
        <w:t>P</w:t>
      </w:r>
      <w:r w:rsidR="009760DD" w:rsidRPr="002B6F86">
        <w:rPr>
          <w:color w:val="000000" w:themeColor="text1"/>
          <w:sz w:val="24"/>
          <w:szCs w:val="24"/>
        </w:rPr>
        <w:t xml:space="preserve">revious </w:t>
      </w:r>
      <w:r w:rsidR="002D5147" w:rsidRPr="002B6F86">
        <w:rPr>
          <w:color w:val="000000" w:themeColor="text1"/>
          <w:sz w:val="24"/>
          <w:szCs w:val="24"/>
        </w:rPr>
        <w:t>work has</w:t>
      </w:r>
      <w:r w:rsidR="00A0770C" w:rsidRPr="002B6F86">
        <w:rPr>
          <w:color w:val="000000" w:themeColor="text1"/>
          <w:sz w:val="24"/>
          <w:szCs w:val="24"/>
        </w:rPr>
        <w:t xml:space="preserve"> shown</w:t>
      </w:r>
      <w:r w:rsidR="009760DD" w:rsidRPr="002B6F86">
        <w:rPr>
          <w:color w:val="000000" w:themeColor="text1"/>
          <w:sz w:val="24"/>
          <w:szCs w:val="24"/>
        </w:rPr>
        <w:t xml:space="preserve"> </w:t>
      </w:r>
      <w:r w:rsidR="00E64CE6" w:rsidRPr="002B6F86">
        <w:rPr>
          <w:color w:val="000000" w:themeColor="text1"/>
          <w:sz w:val="24"/>
          <w:szCs w:val="24"/>
        </w:rPr>
        <w:t>that ICU survivors have reduced</w:t>
      </w:r>
      <w:r w:rsidR="00E7751B" w:rsidRPr="002B6F86">
        <w:rPr>
          <w:color w:val="000000" w:themeColor="text1"/>
          <w:sz w:val="24"/>
          <w:szCs w:val="24"/>
        </w:rPr>
        <w:t xml:space="preserve"> </w:t>
      </w:r>
      <w:proofErr w:type="spellStart"/>
      <w:r w:rsidR="00E7751B" w:rsidRPr="002B6F86">
        <w:rPr>
          <w:color w:val="000000" w:themeColor="text1"/>
          <w:sz w:val="24"/>
          <w:szCs w:val="24"/>
        </w:rPr>
        <w:t>HRQoL</w:t>
      </w:r>
      <w:proofErr w:type="spellEnd"/>
      <w:r w:rsidR="00E7751B" w:rsidRPr="002B6F86">
        <w:rPr>
          <w:color w:val="000000" w:themeColor="text1"/>
          <w:sz w:val="24"/>
          <w:szCs w:val="24"/>
        </w:rPr>
        <w:t xml:space="preserve"> with minimal change after ICU</w:t>
      </w:r>
      <w:r w:rsidR="00BC3ADF" w:rsidRPr="002B6F86">
        <w:rPr>
          <w:color w:val="000000" w:themeColor="text1"/>
          <w:sz w:val="24"/>
          <w:szCs w:val="24"/>
        </w:rPr>
        <w:t xml:space="preserve">, especially after 3 months post hospital </w:t>
      </w:r>
      <w:proofErr w:type="gramStart"/>
      <w:r w:rsidR="00BC3ADF" w:rsidRPr="002B6F86">
        <w:rPr>
          <w:color w:val="000000" w:themeColor="text1"/>
          <w:sz w:val="24"/>
          <w:szCs w:val="24"/>
        </w:rPr>
        <w:t>di</w:t>
      </w:r>
      <w:r w:rsidR="00082687" w:rsidRPr="002B6F86">
        <w:rPr>
          <w:color w:val="000000" w:themeColor="text1"/>
          <w:sz w:val="24"/>
          <w:szCs w:val="24"/>
        </w:rPr>
        <w:t>s</w:t>
      </w:r>
      <w:r w:rsidR="00BC3ADF" w:rsidRPr="002B6F86">
        <w:rPr>
          <w:color w:val="000000" w:themeColor="text1"/>
          <w:sz w:val="24"/>
          <w:szCs w:val="24"/>
        </w:rPr>
        <w:t>charge</w:t>
      </w:r>
      <w:r w:rsidR="00685DCE" w:rsidRPr="00B34E09">
        <w:rPr>
          <w:rFonts w:eastAsia="Times New Roman"/>
          <w:color w:val="000000"/>
          <w:sz w:val="24"/>
        </w:rPr>
        <w:t>(</w:t>
      </w:r>
      <w:proofErr w:type="gramEnd"/>
      <w:r w:rsidR="00685DCE" w:rsidRPr="00B34E09">
        <w:rPr>
          <w:rFonts w:eastAsia="Times New Roman"/>
          <w:color w:val="000000"/>
          <w:sz w:val="24"/>
        </w:rPr>
        <w:t>1–3)</w:t>
      </w:r>
      <w:r w:rsidR="00BC3ADF" w:rsidRPr="002B6F86">
        <w:rPr>
          <w:color w:val="000000" w:themeColor="text1"/>
          <w:sz w:val="24"/>
          <w:szCs w:val="24"/>
        </w:rPr>
        <w:t>.</w:t>
      </w:r>
      <w:r w:rsidR="008178E1" w:rsidRPr="002B6F86">
        <w:rPr>
          <w:color w:val="000000" w:themeColor="text1"/>
          <w:sz w:val="24"/>
          <w:szCs w:val="24"/>
        </w:rPr>
        <w:t xml:space="preserve"> </w:t>
      </w:r>
      <w:r w:rsidR="00BC3ADF" w:rsidRPr="002B6F86">
        <w:rPr>
          <w:color w:val="000000" w:themeColor="text1"/>
          <w:sz w:val="24"/>
          <w:szCs w:val="24"/>
        </w:rPr>
        <w:t>O</w:t>
      </w:r>
      <w:r w:rsidR="00456211" w:rsidRPr="002B6F86">
        <w:rPr>
          <w:color w:val="000000" w:themeColor="text1"/>
          <w:sz w:val="24"/>
          <w:szCs w:val="24"/>
        </w:rPr>
        <w:t xml:space="preserve">ur </w:t>
      </w:r>
      <w:r w:rsidR="00BC3ADF" w:rsidRPr="002B6F86">
        <w:rPr>
          <w:color w:val="000000" w:themeColor="text1"/>
          <w:sz w:val="24"/>
          <w:szCs w:val="24"/>
        </w:rPr>
        <w:t>data</w:t>
      </w:r>
      <w:r w:rsidR="00456211" w:rsidRPr="002B6F86">
        <w:rPr>
          <w:color w:val="000000" w:themeColor="text1"/>
          <w:sz w:val="24"/>
          <w:szCs w:val="24"/>
        </w:rPr>
        <w:t xml:space="preserve"> furthers</w:t>
      </w:r>
      <w:r w:rsidR="00082687" w:rsidRPr="002B6F86">
        <w:rPr>
          <w:color w:val="000000" w:themeColor="text1"/>
          <w:sz w:val="24"/>
          <w:szCs w:val="24"/>
        </w:rPr>
        <w:t xml:space="preserve"> </w:t>
      </w:r>
      <w:r w:rsidR="00BC3ADF" w:rsidRPr="002B6F86">
        <w:rPr>
          <w:color w:val="000000" w:themeColor="text1"/>
          <w:sz w:val="24"/>
          <w:szCs w:val="24"/>
        </w:rPr>
        <w:t>the</w:t>
      </w:r>
      <w:r w:rsidR="00456211" w:rsidRPr="002B6F86">
        <w:rPr>
          <w:color w:val="000000" w:themeColor="text1"/>
          <w:sz w:val="24"/>
          <w:szCs w:val="24"/>
        </w:rPr>
        <w:t xml:space="preserve"> understanding</w:t>
      </w:r>
      <w:r w:rsidR="00BC3ADF" w:rsidRPr="002B6F86">
        <w:rPr>
          <w:color w:val="000000" w:themeColor="text1"/>
          <w:sz w:val="24"/>
          <w:szCs w:val="24"/>
        </w:rPr>
        <w:t xml:space="preserve"> of patient </w:t>
      </w:r>
      <w:proofErr w:type="spellStart"/>
      <w:r w:rsidR="00BC3ADF" w:rsidRPr="002B6F86">
        <w:rPr>
          <w:color w:val="000000" w:themeColor="text1"/>
          <w:sz w:val="24"/>
          <w:szCs w:val="24"/>
        </w:rPr>
        <w:t>HRQoL</w:t>
      </w:r>
      <w:proofErr w:type="spellEnd"/>
      <w:r w:rsidR="00BC3ADF" w:rsidRPr="002B6F86">
        <w:rPr>
          <w:color w:val="000000" w:themeColor="text1"/>
          <w:sz w:val="24"/>
          <w:szCs w:val="24"/>
        </w:rPr>
        <w:t xml:space="preserve"> trajectories at population level</w:t>
      </w:r>
      <w:r w:rsidR="0073114B" w:rsidRPr="002B6F86">
        <w:rPr>
          <w:color w:val="000000" w:themeColor="text1"/>
          <w:sz w:val="24"/>
          <w:szCs w:val="24"/>
        </w:rPr>
        <w:t xml:space="preserve"> by</w:t>
      </w:r>
      <w:r w:rsidR="00456211" w:rsidRPr="002B6F86">
        <w:rPr>
          <w:color w:val="000000" w:themeColor="text1"/>
          <w:sz w:val="24"/>
          <w:szCs w:val="24"/>
        </w:rPr>
        <w:t xml:space="preserve"> </w:t>
      </w:r>
      <w:r w:rsidR="00BC3ADF" w:rsidRPr="002B6F86">
        <w:rPr>
          <w:color w:val="000000" w:themeColor="text1"/>
          <w:sz w:val="24"/>
          <w:szCs w:val="24"/>
        </w:rPr>
        <w:t>showing that between 3 and 12 months only a minority</w:t>
      </w:r>
      <w:r w:rsidR="00456211" w:rsidRPr="002B6F86">
        <w:rPr>
          <w:color w:val="000000" w:themeColor="text1"/>
          <w:sz w:val="24"/>
          <w:szCs w:val="24"/>
        </w:rPr>
        <w:t xml:space="preserve"> have</w:t>
      </w:r>
      <w:r w:rsidR="00BC3ADF" w:rsidRPr="002B6F86">
        <w:rPr>
          <w:color w:val="000000" w:themeColor="text1"/>
          <w:sz w:val="24"/>
          <w:szCs w:val="24"/>
        </w:rPr>
        <w:t xml:space="preserve"> </w:t>
      </w:r>
      <w:r w:rsidR="00456211" w:rsidRPr="002B6F86">
        <w:rPr>
          <w:color w:val="000000" w:themeColor="text1"/>
          <w:sz w:val="24"/>
          <w:szCs w:val="24"/>
        </w:rPr>
        <w:t>clinical</w:t>
      </w:r>
      <w:r w:rsidR="00BC3ADF" w:rsidRPr="002B6F86">
        <w:rPr>
          <w:color w:val="000000" w:themeColor="text1"/>
          <w:sz w:val="24"/>
          <w:szCs w:val="24"/>
        </w:rPr>
        <w:t>ly important</w:t>
      </w:r>
      <w:r w:rsidR="00456211" w:rsidRPr="002B6F86">
        <w:rPr>
          <w:color w:val="000000" w:themeColor="text1"/>
          <w:sz w:val="24"/>
          <w:szCs w:val="24"/>
        </w:rPr>
        <w:t xml:space="preserve"> improvement</w:t>
      </w:r>
      <w:r w:rsidR="00BC3ADF" w:rsidRPr="002B6F86">
        <w:rPr>
          <w:color w:val="000000" w:themeColor="text1"/>
          <w:sz w:val="24"/>
          <w:szCs w:val="24"/>
        </w:rPr>
        <w:t>, with the</w:t>
      </w:r>
      <w:r w:rsidR="00456211" w:rsidRPr="002B6F86">
        <w:rPr>
          <w:color w:val="000000" w:themeColor="text1"/>
          <w:sz w:val="24"/>
          <w:szCs w:val="24"/>
        </w:rPr>
        <w:t xml:space="preserve"> </w:t>
      </w:r>
      <w:r w:rsidR="0073114B" w:rsidRPr="002B6F86">
        <w:rPr>
          <w:color w:val="000000" w:themeColor="text1"/>
          <w:sz w:val="24"/>
          <w:szCs w:val="24"/>
        </w:rPr>
        <w:t>majority</w:t>
      </w:r>
      <w:r w:rsidR="00456211" w:rsidRPr="002B6F86">
        <w:rPr>
          <w:color w:val="000000" w:themeColor="text1"/>
          <w:sz w:val="24"/>
          <w:szCs w:val="24"/>
        </w:rPr>
        <w:t xml:space="preserve"> remain</w:t>
      </w:r>
      <w:r w:rsidR="00BC3ADF" w:rsidRPr="002B6F86">
        <w:rPr>
          <w:color w:val="000000" w:themeColor="text1"/>
          <w:sz w:val="24"/>
          <w:szCs w:val="24"/>
        </w:rPr>
        <w:t>ing</w:t>
      </w:r>
      <w:r w:rsidR="00456211" w:rsidRPr="002B6F86">
        <w:rPr>
          <w:color w:val="000000" w:themeColor="text1"/>
          <w:sz w:val="24"/>
          <w:szCs w:val="24"/>
        </w:rPr>
        <w:t xml:space="preserve"> static or deteriorat</w:t>
      </w:r>
      <w:r w:rsidR="00BC3ADF" w:rsidRPr="002B6F86">
        <w:rPr>
          <w:color w:val="000000" w:themeColor="text1"/>
          <w:sz w:val="24"/>
          <w:szCs w:val="24"/>
        </w:rPr>
        <w:t>ing</w:t>
      </w:r>
      <w:r w:rsidR="00456211" w:rsidRPr="002B6F86">
        <w:rPr>
          <w:color w:val="000000" w:themeColor="text1"/>
          <w:sz w:val="24"/>
          <w:szCs w:val="24"/>
        </w:rPr>
        <w:t xml:space="preserve"> over time. </w:t>
      </w:r>
      <w:r w:rsidR="00BC3ADF" w:rsidRPr="002B6F86">
        <w:rPr>
          <w:color w:val="000000" w:themeColor="text1"/>
          <w:sz w:val="24"/>
          <w:szCs w:val="24"/>
        </w:rPr>
        <w:t xml:space="preserve">Importantly, these patterns were evident irrespective of the </w:t>
      </w:r>
      <w:proofErr w:type="spellStart"/>
      <w:r w:rsidR="00BC3ADF" w:rsidRPr="002B6F86">
        <w:rPr>
          <w:color w:val="000000" w:themeColor="text1"/>
          <w:sz w:val="24"/>
          <w:szCs w:val="24"/>
        </w:rPr>
        <w:t>HRQoL</w:t>
      </w:r>
      <w:proofErr w:type="spellEnd"/>
      <w:r w:rsidR="00BC3ADF" w:rsidRPr="002B6F86">
        <w:rPr>
          <w:color w:val="000000" w:themeColor="text1"/>
          <w:sz w:val="24"/>
          <w:szCs w:val="24"/>
        </w:rPr>
        <w:t xml:space="preserve"> quartile at 3 months, with many patients</w:t>
      </w:r>
      <w:r w:rsidR="007574C7" w:rsidRPr="002B6F86">
        <w:rPr>
          <w:color w:val="000000" w:themeColor="text1"/>
          <w:sz w:val="24"/>
          <w:szCs w:val="24"/>
        </w:rPr>
        <w:t xml:space="preserve"> in the lowest quartiles reporting no subsequent improvement. </w:t>
      </w:r>
      <w:r w:rsidR="00A0770C" w:rsidRPr="002B6F86">
        <w:rPr>
          <w:color w:val="000000" w:themeColor="text1"/>
          <w:sz w:val="24"/>
          <w:szCs w:val="24"/>
        </w:rPr>
        <w:t>P</w:t>
      </w:r>
      <w:r w:rsidR="000F5D95" w:rsidRPr="002B6F86">
        <w:rPr>
          <w:color w:val="000000" w:themeColor="text1"/>
          <w:sz w:val="24"/>
          <w:szCs w:val="24"/>
        </w:rPr>
        <w:t xml:space="preserve">revious studies have </w:t>
      </w:r>
      <w:r w:rsidR="007574C7" w:rsidRPr="002B6F86">
        <w:rPr>
          <w:color w:val="000000" w:themeColor="text1"/>
          <w:sz w:val="24"/>
          <w:szCs w:val="24"/>
        </w:rPr>
        <w:t>implied that</w:t>
      </w:r>
      <w:r w:rsidR="000F5D95" w:rsidRPr="002B6F86">
        <w:rPr>
          <w:color w:val="000000" w:themeColor="text1"/>
          <w:sz w:val="24"/>
          <w:szCs w:val="24"/>
        </w:rPr>
        <w:t xml:space="preserve"> incomplete </w:t>
      </w:r>
      <w:r w:rsidR="007574C7" w:rsidRPr="002B6F86">
        <w:rPr>
          <w:color w:val="000000" w:themeColor="text1"/>
          <w:sz w:val="24"/>
          <w:szCs w:val="24"/>
        </w:rPr>
        <w:t xml:space="preserve">long term </w:t>
      </w:r>
      <w:r w:rsidR="000F5D95" w:rsidRPr="002B6F86">
        <w:rPr>
          <w:color w:val="000000" w:themeColor="text1"/>
          <w:sz w:val="24"/>
          <w:szCs w:val="24"/>
        </w:rPr>
        <w:t xml:space="preserve">recovery </w:t>
      </w:r>
      <w:r w:rsidR="007574C7" w:rsidRPr="002B6F86">
        <w:rPr>
          <w:color w:val="000000" w:themeColor="text1"/>
          <w:sz w:val="24"/>
          <w:szCs w:val="24"/>
        </w:rPr>
        <w:t>may be a direct</w:t>
      </w:r>
      <w:r w:rsidR="00D978A6" w:rsidRPr="002B6F86">
        <w:rPr>
          <w:color w:val="000000" w:themeColor="text1"/>
          <w:sz w:val="24"/>
          <w:szCs w:val="24"/>
        </w:rPr>
        <w:t xml:space="preserve"> </w:t>
      </w:r>
      <w:r w:rsidR="006D6916" w:rsidRPr="002B6F86">
        <w:rPr>
          <w:color w:val="000000" w:themeColor="text1"/>
          <w:sz w:val="24"/>
          <w:szCs w:val="24"/>
        </w:rPr>
        <w:t xml:space="preserve">consequences of </w:t>
      </w:r>
      <w:r w:rsidR="00D978A6" w:rsidRPr="002B6F86">
        <w:rPr>
          <w:color w:val="000000" w:themeColor="text1"/>
          <w:sz w:val="24"/>
          <w:szCs w:val="24"/>
        </w:rPr>
        <w:t>critical illness</w:t>
      </w:r>
      <w:r w:rsidR="000F5D95" w:rsidRPr="002B6F86">
        <w:rPr>
          <w:color w:val="000000" w:themeColor="text1"/>
          <w:sz w:val="24"/>
          <w:szCs w:val="24"/>
        </w:rPr>
        <w:t xml:space="preserve">, </w:t>
      </w:r>
      <w:r w:rsidR="007574C7" w:rsidRPr="002B6F86">
        <w:rPr>
          <w:color w:val="000000" w:themeColor="text1"/>
          <w:sz w:val="24"/>
          <w:szCs w:val="24"/>
        </w:rPr>
        <w:t xml:space="preserve">comprising </w:t>
      </w:r>
      <w:r w:rsidR="006D6916" w:rsidRPr="002B6F86">
        <w:rPr>
          <w:color w:val="000000" w:themeColor="text1"/>
          <w:sz w:val="24"/>
          <w:szCs w:val="24"/>
        </w:rPr>
        <w:t>the</w:t>
      </w:r>
      <w:r w:rsidR="000F5D95" w:rsidRPr="002B6F86">
        <w:rPr>
          <w:color w:val="000000" w:themeColor="text1"/>
          <w:sz w:val="24"/>
          <w:szCs w:val="24"/>
        </w:rPr>
        <w:t xml:space="preserve"> </w:t>
      </w:r>
      <w:r w:rsidR="006D6916" w:rsidRPr="002B6F86">
        <w:rPr>
          <w:color w:val="000000" w:themeColor="text1"/>
          <w:sz w:val="24"/>
          <w:szCs w:val="24"/>
        </w:rPr>
        <w:t>‘</w:t>
      </w:r>
      <w:r w:rsidR="000F5D95" w:rsidRPr="002B6F86">
        <w:rPr>
          <w:color w:val="000000" w:themeColor="text1"/>
          <w:sz w:val="24"/>
          <w:szCs w:val="24"/>
        </w:rPr>
        <w:t>post-intensive care syndrome</w:t>
      </w:r>
      <w:r w:rsidR="006D6916" w:rsidRPr="002B6F86">
        <w:rPr>
          <w:color w:val="000000" w:themeColor="text1"/>
          <w:sz w:val="24"/>
          <w:szCs w:val="24"/>
        </w:rPr>
        <w:t>’</w:t>
      </w:r>
      <w:r w:rsidR="007574C7" w:rsidRPr="002B6F86">
        <w:rPr>
          <w:color w:val="000000" w:themeColor="text1"/>
          <w:sz w:val="24"/>
          <w:szCs w:val="24"/>
        </w:rPr>
        <w:t>. However,</w:t>
      </w:r>
      <w:r w:rsidR="006D6916" w:rsidRPr="002B6F86">
        <w:rPr>
          <w:color w:val="000000" w:themeColor="text1"/>
          <w:sz w:val="24"/>
          <w:szCs w:val="24"/>
        </w:rPr>
        <w:t xml:space="preserve"> m</w:t>
      </w:r>
      <w:r w:rsidR="0048636A" w:rsidRPr="002B6F86">
        <w:rPr>
          <w:color w:val="000000" w:themeColor="text1"/>
          <w:sz w:val="24"/>
          <w:szCs w:val="24"/>
        </w:rPr>
        <w:t>ost</w:t>
      </w:r>
      <w:r w:rsidR="00CC430A" w:rsidRPr="002B6F86">
        <w:rPr>
          <w:color w:val="000000" w:themeColor="text1"/>
          <w:sz w:val="24"/>
          <w:szCs w:val="24"/>
        </w:rPr>
        <w:t xml:space="preserve"> </w:t>
      </w:r>
      <w:r w:rsidR="00A0770C" w:rsidRPr="002B6F86">
        <w:rPr>
          <w:color w:val="000000" w:themeColor="text1"/>
          <w:sz w:val="24"/>
          <w:szCs w:val="24"/>
        </w:rPr>
        <w:t>lack</w:t>
      </w:r>
      <w:r w:rsidR="008706C4" w:rsidRPr="002B6F86">
        <w:rPr>
          <w:color w:val="000000" w:themeColor="text1"/>
          <w:sz w:val="24"/>
          <w:szCs w:val="24"/>
        </w:rPr>
        <w:t>ed</w:t>
      </w:r>
      <w:r w:rsidR="00A0770C" w:rsidRPr="002B6F86">
        <w:rPr>
          <w:color w:val="000000" w:themeColor="text1"/>
          <w:sz w:val="24"/>
          <w:szCs w:val="24"/>
        </w:rPr>
        <w:t xml:space="preserve"> reliable pre-critical illness </w:t>
      </w:r>
      <w:r w:rsidR="00456211" w:rsidRPr="002B6F86">
        <w:rPr>
          <w:color w:val="000000" w:themeColor="text1"/>
          <w:sz w:val="24"/>
          <w:szCs w:val="24"/>
        </w:rPr>
        <w:t>comorbid</w:t>
      </w:r>
      <w:r w:rsidR="00F06200" w:rsidRPr="002B6F86">
        <w:rPr>
          <w:color w:val="000000" w:themeColor="text1"/>
          <w:sz w:val="24"/>
          <w:szCs w:val="24"/>
        </w:rPr>
        <w:t>i</w:t>
      </w:r>
      <w:r w:rsidR="00456211" w:rsidRPr="002B6F86">
        <w:rPr>
          <w:color w:val="000000" w:themeColor="text1"/>
          <w:sz w:val="24"/>
          <w:szCs w:val="24"/>
        </w:rPr>
        <w:t>ty</w:t>
      </w:r>
      <w:r w:rsidR="007574C7" w:rsidRPr="002B6F86">
        <w:rPr>
          <w:color w:val="000000" w:themeColor="text1"/>
          <w:sz w:val="24"/>
          <w:szCs w:val="24"/>
        </w:rPr>
        <w:t xml:space="preserve">, </w:t>
      </w:r>
      <w:proofErr w:type="spellStart"/>
      <w:r w:rsidR="007574C7" w:rsidRPr="002B6F86">
        <w:rPr>
          <w:color w:val="000000" w:themeColor="text1"/>
          <w:sz w:val="24"/>
          <w:szCs w:val="24"/>
        </w:rPr>
        <w:t>HRQoL</w:t>
      </w:r>
      <w:proofErr w:type="spellEnd"/>
      <w:r w:rsidR="007574C7" w:rsidRPr="002B6F86">
        <w:rPr>
          <w:color w:val="000000" w:themeColor="text1"/>
          <w:sz w:val="24"/>
          <w:szCs w:val="24"/>
        </w:rPr>
        <w:t>, or other</w:t>
      </w:r>
      <w:r w:rsidR="00456211" w:rsidRPr="002B6F86">
        <w:rPr>
          <w:color w:val="000000" w:themeColor="text1"/>
          <w:sz w:val="24"/>
          <w:szCs w:val="24"/>
        </w:rPr>
        <w:t xml:space="preserve"> data to assess </w:t>
      </w:r>
      <w:r w:rsidR="007574C7" w:rsidRPr="002B6F86">
        <w:rPr>
          <w:color w:val="000000" w:themeColor="text1"/>
          <w:sz w:val="24"/>
          <w:szCs w:val="24"/>
        </w:rPr>
        <w:t>the relative</w:t>
      </w:r>
      <w:r w:rsidR="00456211" w:rsidRPr="002B6F86">
        <w:rPr>
          <w:color w:val="000000" w:themeColor="text1"/>
          <w:sz w:val="24"/>
          <w:szCs w:val="24"/>
        </w:rPr>
        <w:t xml:space="preserve"> contribution </w:t>
      </w:r>
      <w:r w:rsidR="007574C7" w:rsidRPr="002B6F86">
        <w:rPr>
          <w:color w:val="000000" w:themeColor="text1"/>
          <w:sz w:val="24"/>
          <w:szCs w:val="24"/>
        </w:rPr>
        <w:t xml:space="preserve">of pre-existing health </w:t>
      </w:r>
      <w:r w:rsidR="00456211" w:rsidRPr="002B6F86">
        <w:rPr>
          <w:color w:val="000000" w:themeColor="text1"/>
          <w:sz w:val="24"/>
          <w:szCs w:val="24"/>
        </w:rPr>
        <w:t>to post-ICU outcomes</w:t>
      </w:r>
      <w:r w:rsidR="00C35025" w:rsidRPr="002B6F86">
        <w:rPr>
          <w:color w:val="000000" w:themeColor="text1"/>
          <w:sz w:val="24"/>
          <w:szCs w:val="24"/>
        </w:rPr>
        <w:t xml:space="preserve">. </w:t>
      </w:r>
      <w:r w:rsidR="00147F41" w:rsidRPr="002B6F86">
        <w:rPr>
          <w:color w:val="000000" w:themeColor="text1"/>
          <w:sz w:val="24"/>
          <w:szCs w:val="24"/>
        </w:rPr>
        <w:t xml:space="preserve"> </w:t>
      </w:r>
      <w:proofErr w:type="spellStart"/>
      <w:r w:rsidR="007574C7" w:rsidRPr="002B6F86">
        <w:rPr>
          <w:color w:val="000000" w:themeColor="text1"/>
          <w:sz w:val="24"/>
          <w:szCs w:val="24"/>
        </w:rPr>
        <w:t>Orwelius</w:t>
      </w:r>
      <w:proofErr w:type="spellEnd"/>
      <w:r w:rsidR="007574C7" w:rsidRPr="002B6F86">
        <w:rPr>
          <w:color w:val="000000" w:themeColor="text1"/>
          <w:sz w:val="24"/>
          <w:szCs w:val="24"/>
        </w:rPr>
        <w:t xml:space="preserve"> and colleagues used</w:t>
      </w:r>
      <w:r w:rsidR="0073114B" w:rsidRPr="002B6F86">
        <w:rPr>
          <w:color w:val="000000" w:themeColor="text1"/>
          <w:sz w:val="24"/>
          <w:szCs w:val="24"/>
        </w:rPr>
        <w:t xml:space="preserve"> </w:t>
      </w:r>
      <w:r w:rsidR="00147F41" w:rsidRPr="002B6F86">
        <w:rPr>
          <w:color w:val="000000" w:themeColor="text1"/>
          <w:sz w:val="24"/>
          <w:szCs w:val="24"/>
        </w:rPr>
        <w:t>questionnaires</w:t>
      </w:r>
      <w:r w:rsidR="0073114B" w:rsidRPr="002B6F86">
        <w:rPr>
          <w:color w:val="000000" w:themeColor="text1"/>
          <w:sz w:val="24"/>
          <w:szCs w:val="24"/>
        </w:rPr>
        <w:t xml:space="preserve"> </w:t>
      </w:r>
      <w:r w:rsidR="007574C7" w:rsidRPr="002B6F86">
        <w:rPr>
          <w:color w:val="000000" w:themeColor="text1"/>
          <w:sz w:val="24"/>
          <w:szCs w:val="24"/>
        </w:rPr>
        <w:t>administered</w:t>
      </w:r>
      <w:r w:rsidR="00147F41" w:rsidRPr="002B6F86">
        <w:rPr>
          <w:color w:val="000000" w:themeColor="text1"/>
          <w:sz w:val="24"/>
          <w:szCs w:val="24"/>
        </w:rPr>
        <w:t xml:space="preserve"> </w:t>
      </w:r>
      <w:r w:rsidR="0073114B" w:rsidRPr="002B6F86">
        <w:rPr>
          <w:color w:val="000000" w:themeColor="text1"/>
          <w:sz w:val="24"/>
          <w:szCs w:val="24"/>
        </w:rPr>
        <w:t xml:space="preserve">to </w:t>
      </w:r>
      <w:r w:rsidR="00147F41" w:rsidRPr="002B6F86">
        <w:rPr>
          <w:color w:val="000000" w:themeColor="text1"/>
          <w:sz w:val="24"/>
          <w:szCs w:val="24"/>
        </w:rPr>
        <w:t>ICU patients surviving 6 months from ICU discharge</w:t>
      </w:r>
      <w:r w:rsidR="007574C7" w:rsidRPr="002B6F86">
        <w:rPr>
          <w:color w:val="000000" w:themeColor="text1"/>
          <w:sz w:val="24"/>
          <w:szCs w:val="24"/>
        </w:rPr>
        <w:t xml:space="preserve"> to retrospectively assess</w:t>
      </w:r>
      <w:r w:rsidR="002573D8" w:rsidRPr="002B6F86">
        <w:rPr>
          <w:color w:val="000000" w:themeColor="text1"/>
          <w:sz w:val="24"/>
          <w:szCs w:val="24"/>
        </w:rPr>
        <w:t xml:space="preserve"> pre-ICU health status, </w:t>
      </w:r>
      <w:r w:rsidR="007574C7" w:rsidRPr="002B6F86">
        <w:rPr>
          <w:color w:val="000000" w:themeColor="text1"/>
          <w:sz w:val="24"/>
          <w:szCs w:val="24"/>
        </w:rPr>
        <w:t>with a</w:t>
      </w:r>
      <w:r w:rsidR="00147F41" w:rsidRPr="002B6F86">
        <w:rPr>
          <w:color w:val="000000" w:themeColor="text1"/>
          <w:sz w:val="24"/>
          <w:szCs w:val="24"/>
        </w:rPr>
        <w:t xml:space="preserve"> 59% </w:t>
      </w:r>
      <w:r w:rsidR="007574C7" w:rsidRPr="002B6F86">
        <w:rPr>
          <w:color w:val="000000" w:themeColor="text1"/>
          <w:sz w:val="24"/>
          <w:szCs w:val="24"/>
        </w:rPr>
        <w:t>response rate. Their analysis suggested</w:t>
      </w:r>
      <w:r w:rsidR="00147F41" w:rsidRPr="002B6F86">
        <w:rPr>
          <w:color w:val="000000" w:themeColor="text1"/>
          <w:sz w:val="24"/>
          <w:szCs w:val="24"/>
        </w:rPr>
        <w:t xml:space="preserve"> </w:t>
      </w:r>
      <w:r w:rsidR="0073114B" w:rsidRPr="002B6F86">
        <w:rPr>
          <w:color w:val="000000" w:themeColor="text1"/>
          <w:sz w:val="24"/>
          <w:szCs w:val="24"/>
        </w:rPr>
        <w:t xml:space="preserve">pre-existing disease was </w:t>
      </w:r>
      <w:r w:rsidR="007574C7" w:rsidRPr="002B6F86">
        <w:rPr>
          <w:color w:val="000000" w:themeColor="text1"/>
          <w:sz w:val="24"/>
          <w:szCs w:val="24"/>
        </w:rPr>
        <w:t xml:space="preserve">a strong </w:t>
      </w:r>
      <w:r w:rsidR="0073114B" w:rsidRPr="002B6F86">
        <w:rPr>
          <w:color w:val="000000" w:themeColor="text1"/>
          <w:sz w:val="24"/>
          <w:szCs w:val="24"/>
        </w:rPr>
        <w:t>independent</w:t>
      </w:r>
      <w:r w:rsidR="007574C7" w:rsidRPr="002B6F86">
        <w:rPr>
          <w:color w:val="000000" w:themeColor="text1"/>
          <w:sz w:val="24"/>
          <w:szCs w:val="24"/>
        </w:rPr>
        <w:t xml:space="preserve"> determinant of</w:t>
      </w:r>
      <w:r w:rsidR="0073114B" w:rsidRPr="002B6F86">
        <w:rPr>
          <w:color w:val="000000" w:themeColor="text1"/>
          <w:sz w:val="24"/>
          <w:szCs w:val="24"/>
        </w:rPr>
        <w:t xml:space="preserve"> </w:t>
      </w:r>
      <w:proofErr w:type="spellStart"/>
      <w:r w:rsidR="0073114B" w:rsidRPr="002B6F86">
        <w:rPr>
          <w:color w:val="000000" w:themeColor="text1"/>
          <w:sz w:val="24"/>
          <w:szCs w:val="24"/>
        </w:rPr>
        <w:t>HRQoL</w:t>
      </w:r>
      <w:proofErr w:type="spellEnd"/>
      <w:r w:rsidR="0073114B" w:rsidRPr="002B6F86">
        <w:rPr>
          <w:color w:val="000000" w:themeColor="text1"/>
          <w:sz w:val="24"/>
          <w:szCs w:val="24"/>
        </w:rPr>
        <w:t xml:space="preserve"> outcome</w:t>
      </w:r>
      <w:r w:rsidR="007574C7" w:rsidRPr="002B6F86">
        <w:rPr>
          <w:color w:val="000000" w:themeColor="text1"/>
          <w:sz w:val="24"/>
          <w:szCs w:val="24"/>
        </w:rPr>
        <w:t xml:space="preserve">s, but was potentially subject to recall and response </w:t>
      </w:r>
      <w:proofErr w:type="gramStart"/>
      <w:r w:rsidR="007574C7" w:rsidRPr="002B6F86">
        <w:rPr>
          <w:color w:val="000000" w:themeColor="text1"/>
          <w:sz w:val="24"/>
          <w:szCs w:val="24"/>
        </w:rPr>
        <w:t>bias</w:t>
      </w:r>
      <w:r w:rsidR="003B3457" w:rsidRPr="002B6F86">
        <w:rPr>
          <w:color w:val="000000" w:themeColor="text1"/>
          <w:sz w:val="24"/>
          <w:szCs w:val="24"/>
        </w:rPr>
        <w:t>.</w:t>
      </w:r>
      <w:r w:rsidR="0094355C">
        <w:rPr>
          <w:noProof/>
          <w:color w:val="000000" w:themeColor="text1"/>
          <w:sz w:val="24"/>
          <w:szCs w:val="24"/>
        </w:rPr>
        <w:t>(</w:t>
      </w:r>
      <w:proofErr w:type="gramEnd"/>
      <w:r w:rsidR="0094355C">
        <w:rPr>
          <w:noProof/>
          <w:color w:val="000000" w:themeColor="text1"/>
          <w:sz w:val="24"/>
          <w:szCs w:val="24"/>
        </w:rPr>
        <w:t>27)</w:t>
      </w:r>
      <w:r w:rsidR="001904D5" w:rsidRPr="002B6F86">
        <w:rPr>
          <w:color w:val="000000" w:themeColor="text1"/>
          <w:sz w:val="24"/>
          <w:szCs w:val="24"/>
        </w:rPr>
        <w:t xml:space="preserve"> </w:t>
      </w:r>
      <w:r w:rsidR="00CD2DE3" w:rsidRPr="002B6F86">
        <w:rPr>
          <w:color w:val="000000" w:themeColor="text1"/>
          <w:sz w:val="24"/>
          <w:szCs w:val="24"/>
        </w:rPr>
        <w:t>A</w:t>
      </w:r>
      <w:r w:rsidR="007574C7" w:rsidRPr="002B6F86">
        <w:rPr>
          <w:color w:val="000000" w:themeColor="text1"/>
          <w:sz w:val="24"/>
          <w:szCs w:val="24"/>
        </w:rPr>
        <w:t xml:space="preserve"> more recent </w:t>
      </w:r>
      <w:r w:rsidR="00CD2DE3" w:rsidRPr="002B6F86">
        <w:rPr>
          <w:color w:val="000000" w:themeColor="text1"/>
          <w:sz w:val="24"/>
          <w:szCs w:val="24"/>
        </w:rPr>
        <w:t>sub-</w:t>
      </w:r>
      <w:r w:rsidR="007574C7" w:rsidRPr="002B6F86">
        <w:rPr>
          <w:color w:val="000000" w:themeColor="text1"/>
          <w:sz w:val="24"/>
          <w:szCs w:val="24"/>
        </w:rPr>
        <w:t>study of</w:t>
      </w:r>
      <w:r w:rsidR="00CD2DE3" w:rsidRPr="002B6F86">
        <w:rPr>
          <w:color w:val="000000" w:themeColor="text1"/>
          <w:sz w:val="24"/>
          <w:szCs w:val="24"/>
        </w:rPr>
        <w:t xml:space="preserve"> </w:t>
      </w:r>
      <w:r w:rsidR="00F96C16" w:rsidRPr="002B6F86">
        <w:rPr>
          <w:color w:val="000000" w:themeColor="text1"/>
          <w:sz w:val="24"/>
          <w:szCs w:val="24"/>
        </w:rPr>
        <w:t>patients aged 70 years</w:t>
      </w:r>
      <w:r w:rsidR="00CD2DE3" w:rsidRPr="002B6F86">
        <w:rPr>
          <w:color w:val="000000" w:themeColor="text1"/>
          <w:sz w:val="24"/>
          <w:szCs w:val="24"/>
        </w:rPr>
        <w:t xml:space="preserve"> or older, who participated in a larger cohort</w:t>
      </w:r>
      <w:r w:rsidR="00F96C16" w:rsidRPr="002B6F86">
        <w:rPr>
          <w:color w:val="000000" w:themeColor="text1"/>
          <w:sz w:val="24"/>
          <w:szCs w:val="24"/>
        </w:rPr>
        <w:t xml:space="preserve"> </w:t>
      </w:r>
      <w:r w:rsidR="00CD2DE3" w:rsidRPr="002B6F86">
        <w:rPr>
          <w:color w:val="000000" w:themeColor="text1"/>
          <w:sz w:val="24"/>
          <w:szCs w:val="24"/>
        </w:rPr>
        <w:t>study of functional recovery but required an ICU admission, explored a range of potential determinants of return to pre-critical illness functional status</w:t>
      </w:r>
      <w:r w:rsidR="007574C7" w:rsidRPr="002B6F86">
        <w:rPr>
          <w:color w:val="000000" w:themeColor="text1"/>
          <w:sz w:val="24"/>
          <w:szCs w:val="24"/>
        </w:rPr>
        <w:t>. In this analysis</w:t>
      </w:r>
      <w:r w:rsidR="00F96C16" w:rsidRPr="002B6F86">
        <w:rPr>
          <w:color w:val="000000" w:themeColor="text1"/>
          <w:sz w:val="24"/>
          <w:szCs w:val="24"/>
        </w:rPr>
        <w:t>, pre-ICU impairments of hearing and vision were strongly associated with poor functional outcome at 6 months</w:t>
      </w:r>
      <w:r w:rsidR="007574C7" w:rsidRPr="002B6F86">
        <w:rPr>
          <w:color w:val="000000" w:themeColor="text1"/>
          <w:sz w:val="24"/>
          <w:szCs w:val="24"/>
        </w:rPr>
        <w:t>,</w:t>
      </w:r>
      <w:r w:rsidR="005E63F4" w:rsidRPr="002B6F86">
        <w:rPr>
          <w:color w:val="000000" w:themeColor="text1"/>
          <w:sz w:val="24"/>
          <w:szCs w:val="24"/>
        </w:rPr>
        <w:t xml:space="preserve"> but comorbidity count and ICU related factors were </w:t>
      </w:r>
      <w:proofErr w:type="gramStart"/>
      <w:r w:rsidR="005E63F4" w:rsidRPr="002B6F86">
        <w:rPr>
          <w:color w:val="000000" w:themeColor="text1"/>
          <w:sz w:val="24"/>
          <w:szCs w:val="24"/>
        </w:rPr>
        <w:t>not</w:t>
      </w:r>
      <w:r w:rsidR="00F96C16" w:rsidRPr="002B6F86">
        <w:rPr>
          <w:color w:val="000000" w:themeColor="text1"/>
          <w:sz w:val="24"/>
          <w:szCs w:val="24"/>
        </w:rPr>
        <w:t>.</w:t>
      </w:r>
      <w:r w:rsidR="0094355C">
        <w:rPr>
          <w:noProof/>
          <w:color w:val="000000" w:themeColor="text1"/>
          <w:sz w:val="24"/>
          <w:szCs w:val="24"/>
        </w:rPr>
        <w:t>(</w:t>
      </w:r>
      <w:proofErr w:type="gramEnd"/>
      <w:r w:rsidR="0094355C">
        <w:rPr>
          <w:noProof/>
          <w:color w:val="000000" w:themeColor="text1"/>
          <w:sz w:val="24"/>
          <w:szCs w:val="24"/>
        </w:rPr>
        <w:t>28)</w:t>
      </w:r>
      <w:r w:rsidR="00761424" w:rsidRPr="002B6F86">
        <w:rPr>
          <w:color w:val="000000" w:themeColor="text1"/>
          <w:sz w:val="24"/>
          <w:szCs w:val="24"/>
        </w:rPr>
        <w:t xml:space="preserve"> </w:t>
      </w:r>
      <w:r w:rsidR="00DD167D" w:rsidRPr="002B6F86">
        <w:rPr>
          <w:color w:val="000000" w:themeColor="text1"/>
          <w:sz w:val="24"/>
          <w:szCs w:val="24"/>
        </w:rPr>
        <w:t xml:space="preserve"> </w:t>
      </w:r>
      <w:r w:rsidR="00A145AB" w:rsidRPr="002B6F86">
        <w:rPr>
          <w:color w:val="000000" w:themeColor="text1"/>
          <w:sz w:val="24"/>
          <w:szCs w:val="24"/>
        </w:rPr>
        <w:t xml:space="preserve">Our </w:t>
      </w:r>
      <w:r w:rsidR="00CD2DE3" w:rsidRPr="002B6F86">
        <w:rPr>
          <w:color w:val="000000" w:themeColor="text1"/>
          <w:sz w:val="24"/>
          <w:szCs w:val="24"/>
        </w:rPr>
        <w:t xml:space="preserve">prospective </w:t>
      </w:r>
      <w:r w:rsidR="00A145AB" w:rsidRPr="002B6F86">
        <w:rPr>
          <w:color w:val="000000" w:themeColor="text1"/>
          <w:sz w:val="24"/>
          <w:szCs w:val="24"/>
        </w:rPr>
        <w:t xml:space="preserve">study </w:t>
      </w:r>
      <w:r w:rsidR="006043EF" w:rsidRPr="002B6F86">
        <w:rPr>
          <w:color w:val="000000" w:themeColor="text1"/>
          <w:sz w:val="24"/>
          <w:szCs w:val="24"/>
        </w:rPr>
        <w:t>sampl</w:t>
      </w:r>
      <w:r w:rsidR="00CD2DE3" w:rsidRPr="002B6F86">
        <w:rPr>
          <w:color w:val="000000" w:themeColor="text1"/>
          <w:sz w:val="24"/>
          <w:szCs w:val="24"/>
        </w:rPr>
        <w:t>ed</w:t>
      </w:r>
      <w:r w:rsidR="006043EF" w:rsidRPr="002B6F86">
        <w:rPr>
          <w:color w:val="000000" w:themeColor="text1"/>
          <w:sz w:val="24"/>
          <w:szCs w:val="24"/>
        </w:rPr>
        <w:t xml:space="preserve"> a general </w:t>
      </w:r>
      <w:r w:rsidR="00CD2DE3" w:rsidRPr="002B6F86">
        <w:rPr>
          <w:color w:val="000000" w:themeColor="text1"/>
          <w:sz w:val="24"/>
          <w:szCs w:val="24"/>
        </w:rPr>
        <w:t xml:space="preserve">mixed </w:t>
      </w:r>
      <w:r w:rsidR="006043EF" w:rsidRPr="002B6F86">
        <w:rPr>
          <w:color w:val="000000" w:themeColor="text1"/>
          <w:sz w:val="24"/>
          <w:szCs w:val="24"/>
        </w:rPr>
        <w:t xml:space="preserve">ICU population across all adult age groups, </w:t>
      </w:r>
      <w:r w:rsidR="00CD2DE3" w:rsidRPr="002B6F86">
        <w:rPr>
          <w:color w:val="000000" w:themeColor="text1"/>
          <w:sz w:val="24"/>
          <w:szCs w:val="24"/>
        </w:rPr>
        <w:t xml:space="preserve">and </w:t>
      </w:r>
      <w:r w:rsidR="006043EF" w:rsidRPr="002B6F86">
        <w:rPr>
          <w:color w:val="000000" w:themeColor="text1"/>
          <w:sz w:val="24"/>
          <w:szCs w:val="24"/>
        </w:rPr>
        <w:t xml:space="preserve">provides </w:t>
      </w:r>
      <w:r w:rsidR="00CD2DE3" w:rsidRPr="002B6F86">
        <w:rPr>
          <w:color w:val="000000" w:themeColor="text1"/>
          <w:sz w:val="24"/>
          <w:szCs w:val="24"/>
        </w:rPr>
        <w:t>strong</w:t>
      </w:r>
      <w:r w:rsidR="006043EF" w:rsidRPr="002B6F86">
        <w:rPr>
          <w:color w:val="000000" w:themeColor="text1"/>
          <w:sz w:val="24"/>
          <w:szCs w:val="24"/>
        </w:rPr>
        <w:t xml:space="preserve"> </w:t>
      </w:r>
      <w:r w:rsidR="006043EF" w:rsidRPr="002B6F86">
        <w:rPr>
          <w:color w:val="000000" w:themeColor="text1"/>
          <w:sz w:val="24"/>
          <w:szCs w:val="24"/>
        </w:rPr>
        <w:lastRenderedPageBreak/>
        <w:t xml:space="preserve">evidence </w:t>
      </w:r>
      <w:r w:rsidR="00CD2DE3" w:rsidRPr="002B6F86">
        <w:rPr>
          <w:color w:val="000000" w:themeColor="text1"/>
          <w:sz w:val="24"/>
          <w:szCs w:val="24"/>
        </w:rPr>
        <w:t>for the importance of</w:t>
      </w:r>
      <w:r w:rsidR="006043EF" w:rsidRPr="002B6F86">
        <w:rPr>
          <w:color w:val="000000" w:themeColor="text1"/>
          <w:sz w:val="24"/>
          <w:szCs w:val="24"/>
        </w:rPr>
        <w:t xml:space="preserve"> pre-ICU comorbidity </w:t>
      </w:r>
      <w:r w:rsidR="00CD2DE3" w:rsidRPr="002B6F86">
        <w:rPr>
          <w:color w:val="000000" w:themeColor="text1"/>
          <w:sz w:val="24"/>
          <w:szCs w:val="24"/>
        </w:rPr>
        <w:t>a</w:t>
      </w:r>
      <w:r w:rsidR="006043EF" w:rsidRPr="002B6F86">
        <w:rPr>
          <w:color w:val="000000" w:themeColor="text1"/>
          <w:sz w:val="24"/>
          <w:szCs w:val="24"/>
        </w:rPr>
        <w:t xml:space="preserve">s a major determinant of post-ICU </w:t>
      </w:r>
      <w:proofErr w:type="spellStart"/>
      <w:r w:rsidR="006043EF" w:rsidRPr="002B6F86">
        <w:rPr>
          <w:color w:val="000000" w:themeColor="text1"/>
          <w:sz w:val="24"/>
          <w:szCs w:val="24"/>
        </w:rPr>
        <w:t>HRQoL</w:t>
      </w:r>
      <w:proofErr w:type="spellEnd"/>
      <w:r w:rsidR="00CD2DE3" w:rsidRPr="002B6F86">
        <w:rPr>
          <w:color w:val="000000" w:themeColor="text1"/>
          <w:sz w:val="24"/>
          <w:szCs w:val="24"/>
        </w:rPr>
        <w:t xml:space="preserve"> beyond the first 3 months post-ICU discharge</w:t>
      </w:r>
      <w:r w:rsidR="006043EF" w:rsidRPr="002B6F86">
        <w:rPr>
          <w:color w:val="000000" w:themeColor="text1"/>
          <w:sz w:val="24"/>
          <w:szCs w:val="24"/>
        </w:rPr>
        <w:t>.</w:t>
      </w:r>
      <w:r w:rsidR="00A145AB" w:rsidRPr="002B6F86">
        <w:rPr>
          <w:color w:val="000000" w:themeColor="text1"/>
          <w:sz w:val="24"/>
          <w:szCs w:val="24"/>
        </w:rPr>
        <w:t xml:space="preserve">  </w:t>
      </w:r>
    </w:p>
    <w:p w14:paraId="0518C867" w14:textId="40FBF0AA" w:rsidR="0060662E" w:rsidRPr="002B6F86" w:rsidRDefault="002B6F86">
      <w:pPr>
        <w:spacing w:line="480" w:lineRule="auto"/>
        <w:jc w:val="both"/>
        <w:rPr>
          <w:color w:val="000000" w:themeColor="text1"/>
          <w:sz w:val="24"/>
          <w:szCs w:val="24"/>
        </w:rPr>
      </w:pPr>
      <w:r w:rsidRPr="002B6F86">
        <w:rPr>
          <w:color w:val="000000" w:themeColor="text1"/>
          <w:sz w:val="24"/>
          <w:szCs w:val="24"/>
        </w:rPr>
        <w:tab/>
      </w:r>
      <w:r w:rsidR="009760DD" w:rsidRPr="002B6F86">
        <w:rPr>
          <w:color w:val="000000" w:themeColor="text1"/>
          <w:sz w:val="24"/>
          <w:szCs w:val="24"/>
        </w:rPr>
        <w:t xml:space="preserve">Our findings </w:t>
      </w:r>
      <w:r w:rsidR="00A145AB" w:rsidRPr="002B6F86">
        <w:rPr>
          <w:color w:val="000000" w:themeColor="text1"/>
          <w:sz w:val="24"/>
          <w:szCs w:val="24"/>
        </w:rPr>
        <w:t xml:space="preserve">add to a growing body of research </w:t>
      </w:r>
      <w:r w:rsidR="00012D2A" w:rsidRPr="002B6F86">
        <w:rPr>
          <w:color w:val="000000" w:themeColor="text1"/>
          <w:sz w:val="24"/>
          <w:szCs w:val="24"/>
        </w:rPr>
        <w:t>highlighting</w:t>
      </w:r>
      <w:r w:rsidR="00A145AB" w:rsidRPr="002B6F86">
        <w:rPr>
          <w:color w:val="000000" w:themeColor="text1"/>
          <w:sz w:val="24"/>
          <w:szCs w:val="24"/>
        </w:rPr>
        <w:t xml:space="preserve"> pre-ICU health </w:t>
      </w:r>
      <w:r w:rsidR="00012D2A" w:rsidRPr="002B6F86">
        <w:rPr>
          <w:color w:val="000000" w:themeColor="text1"/>
          <w:sz w:val="24"/>
          <w:szCs w:val="24"/>
        </w:rPr>
        <w:t>as a</w:t>
      </w:r>
      <w:r w:rsidR="00A145AB" w:rsidRPr="002B6F86">
        <w:rPr>
          <w:color w:val="000000" w:themeColor="text1"/>
          <w:sz w:val="24"/>
          <w:szCs w:val="24"/>
        </w:rPr>
        <w:t xml:space="preserve"> </w:t>
      </w:r>
      <w:r w:rsidR="00012D2A" w:rsidRPr="002B6F86">
        <w:rPr>
          <w:color w:val="000000" w:themeColor="text1"/>
          <w:sz w:val="24"/>
          <w:szCs w:val="24"/>
        </w:rPr>
        <w:t>key</w:t>
      </w:r>
      <w:r w:rsidR="00A145AB" w:rsidRPr="002B6F86">
        <w:rPr>
          <w:color w:val="000000" w:themeColor="text1"/>
          <w:sz w:val="24"/>
          <w:szCs w:val="24"/>
        </w:rPr>
        <w:t xml:space="preserve"> determinant of </w:t>
      </w:r>
      <w:r w:rsidR="00012D2A" w:rsidRPr="002B6F86">
        <w:rPr>
          <w:color w:val="000000" w:themeColor="text1"/>
          <w:sz w:val="24"/>
          <w:szCs w:val="24"/>
        </w:rPr>
        <w:t>important ICU</w:t>
      </w:r>
      <w:r w:rsidR="00A145AB" w:rsidRPr="002B6F86">
        <w:rPr>
          <w:color w:val="000000" w:themeColor="text1"/>
          <w:sz w:val="24"/>
          <w:szCs w:val="24"/>
        </w:rPr>
        <w:t xml:space="preserve"> outcome</w:t>
      </w:r>
      <w:r w:rsidR="00D76ED1" w:rsidRPr="002B6F86">
        <w:rPr>
          <w:color w:val="000000" w:themeColor="text1"/>
          <w:sz w:val="24"/>
          <w:szCs w:val="24"/>
        </w:rPr>
        <w:t>s</w:t>
      </w:r>
      <w:r w:rsidR="00A145AB" w:rsidRPr="002B6F86">
        <w:rPr>
          <w:color w:val="000000" w:themeColor="text1"/>
          <w:sz w:val="24"/>
          <w:szCs w:val="24"/>
        </w:rPr>
        <w:t xml:space="preserve"> including </w:t>
      </w:r>
      <w:proofErr w:type="gramStart"/>
      <w:r w:rsidR="00A145AB" w:rsidRPr="002B6F86">
        <w:rPr>
          <w:color w:val="000000" w:themeColor="text1"/>
          <w:sz w:val="24"/>
          <w:szCs w:val="24"/>
        </w:rPr>
        <w:t>mortality</w:t>
      </w:r>
      <w:r w:rsidR="0094355C">
        <w:rPr>
          <w:noProof/>
          <w:color w:val="000000" w:themeColor="text1"/>
          <w:sz w:val="24"/>
          <w:szCs w:val="24"/>
        </w:rPr>
        <w:t>(</w:t>
      </w:r>
      <w:proofErr w:type="gramEnd"/>
      <w:r w:rsidR="0094355C">
        <w:rPr>
          <w:noProof/>
          <w:color w:val="000000" w:themeColor="text1"/>
          <w:sz w:val="24"/>
          <w:szCs w:val="24"/>
        </w:rPr>
        <w:t>29)</w:t>
      </w:r>
      <w:r w:rsidR="00D76ED1" w:rsidRPr="002B6F86">
        <w:rPr>
          <w:color w:val="000000" w:themeColor="text1"/>
          <w:sz w:val="24"/>
          <w:szCs w:val="24"/>
        </w:rPr>
        <w:t xml:space="preserve"> </w:t>
      </w:r>
      <w:r w:rsidR="00CD2DE3" w:rsidRPr="002B6F86">
        <w:rPr>
          <w:color w:val="000000" w:themeColor="text1"/>
          <w:sz w:val="24"/>
          <w:szCs w:val="24"/>
        </w:rPr>
        <w:t xml:space="preserve">and </w:t>
      </w:r>
      <w:r w:rsidR="00012D2A" w:rsidRPr="002B6F86">
        <w:rPr>
          <w:color w:val="000000" w:themeColor="text1"/>
          <w:sz w:val="24"/>
          <w:szCs w:val="24"/>
        </w:rPr>
        <w:t>healthcare resource use</w:t>
      </w:r>
      <w:r w:rsidR="00D76ED1" w:rsidRPr="002B6F86">
        <w:rPr>
          <w:color w:val="000000" w:themeColor="text1"/>
          <w:sz w:val="24"/>
          <w:szCs w:val="24"/>
        </w:rPr>
        <w:t xml:space="preserve"> </w:t>
      </w:r>
      <w:r w:rsidR="0094355C">
        <w:rPr>
          <w:noProof/>
          <w:color w:val="000000" w:themeColor="text1"/>
          <w:sz w:val="24"/>
          <w:szCs w:val="24"/>
        </w:rPr>
        <w:t>(30)</w:t>
      </w:r>
      <w:r w:rsidR="00A145AB" w:rsidRPr="002B6F86">
        <w:rPr>
          <w:color w:val="000000" w:themeColor="text1"/>
          <w:sz w:val="24"/>
          <w:szCs w:val="24"/>
        </w:rPr>
        <w:t xml:space="preserve"> </w:t>
      </w:r>
      <w:r w:rsidR="00012D2A" w:rsidRPr="002B6F86">
        <w:rPr>
          <w:color w:val="000000" w:themeColor="text1"/>
          <w:sz w:val="24"/>
          <w:szCs w:val="24"/>
        </w:rPr>
        <w:t xml:space="preserve">in addition </w:t>
      </w:r>
      <w:r w:rsidR="00CD2DE3" w:rsidRPr="002B6F86">
        <w:rPr>
          <w:color w:val="000000" w:themeColor="text1"/>
          <w:sz w:val="24"/>
          <w:szCs w:val="24"/>
        </w:rPr>
        <w:t xml:space="preserve">to </w:t>
      </w:r>
      <w:r w:rsidR="00012D2A" w:rsidRPr="002B6F86">
        <w:rPr>
          <w:color w:val="000000" w:themeColor="text1"/>
          <w:sz w:val="24"/>
          <w:szCs w:val="24"/>
        </w:rPr>
        <w:t xml:space="preserve">functional recovery </w:t>
      </w:r>
      <w:r w:rsidR="001D487E" w:rsidRPr="002B6F86">
        <w:rPr>
          <w:color w:val="000000" w:themeColor="text1"/>
          <w:sz w:val="24"/>
          <w:szCs w:val="24"/>
        </w:rPr>
        <w:t xml:space="preserve">and </w:t>
      </w:r>
      <w:proofErr w:type="spellStart"/>
      <w:r w:rsidR="00CD2DE3" w:rsidRPr="002B6F86">
        <w:rPr>
          <w:color w:val="000000" w:themeColor="text1"/>
          <w:sz w:val="24"/>
          <w:szCs w:val="24"/>
        </w:rPr>
        <w:t>HRQoL</w:t>
      </w:r>
      <w:proofErr w:type="spellEnd"/>
      <w:r w:rsidR="00CD2DE3" w:rsidRPr="002B6F86">
        <w:rPr>
          <w:color w:val="000000" w:themeColor="text1"/>
          <w:sz w:val="24"/>
          <w:szCs w:val="24"/>
        </w:rPr>
        <w:t>. T</w:t>
      </w:r>
      <w:r w:rsidR="001D487E" w:rsidRPr="002B6F86">
        <w:rPr>
          <w:color w:val="000000" w:themeColor="text1"/>
          <w:sz w:val="24"/>
          <w:szCs w:val="24"/>
        </w:rPr>
        <w:t>his has</w:t>
      </w:r>
      <w:r w:rsidR="00012D2A" w:rsidRPr="002B6F86">
        <w:rPr>
          <w:color w:val="000000" w:themeColor="text1"/>
          <w:sz w:val="24"/>
          <w:szCs w:val="24"/>
        </w:rPr>
        <w:t xml:space="preserve"> implications </w:t>
      </w:r>
      <w:r w:rsidR="009760DD" w:rsidRPr="002B6F86">
        <w:rPr>
          <w:color w:val="000000" w:themeColor="text1"/>
          <w:sz w:val="24"/>
          <w:szCs w:val="24"/>
        </w:rPr>
        <w:t xml:space="preserve">for future </w:t>
      </w:r>
      <w:r w:rsidR="00012D2A" w:rsidRPr="002B6F86">
        <w:rPr>
          <w:color w:val="000000" w:themeColor="text1"/>
          <w:sz w:val="24"/>
          <w:szCs w:val="24"/>
        </w:rPr>
        <w:t>trial design</w:t>
      </w:r>
      <w:r w:rsidR="009760DD" w:rsidRPr="002B6F86">
        <w:rPr>
          <w:color w:val="000000" w:themeColor="text1"/>
          <w:sz w:val="24"/>
          <w:szCs w:val="24"/>
        </w:rPr>
        <w:t>.</w:t>
      </w:r>
      <w:r w:rsidR="001D487E" w:rsidRPr="002B6F86">
        <w:rPr>
          <w:color w:val="000000" w:themeColor="text1"/>
          <w:sz w:val="24"/>
          <w:szCs w:val="24"/>
        </w:rPr>
        <w:t xml:space="preserve"> </w:t>
      </w:r>
      <w:r w:rsidR="009760DD" w:rsidRPr="002B6F86">
        <w:rPr>
          <w:color w:val="000000" w:themeColor="text1"/>
          <w:sz w:val="24"/>
          <w:szCs w:val="24"/>
        </w:rPr>
        <w:t xml:space="preserve"> </w:t>
      </w:r>
      <w:r w:rsidR="00012D2A" w:rsidRPr="002B6F86">
        <w:rPr>
          <w:color w:val="000000" w:themeColor="text1"/>
          <w:sz w:val="24"/>
          <w:szCs w:val="24"/>
        </w:rPr>
        <w:t xml:space="preserve">In </w:t>
      </w:r>
      <w:r w:rsidR="001D487E" w:rsidRPr="002B6F86">
        <w:rPr>
          <w:color w:val="000000" w:themeColor="text1"/>
          <w:sz w:val="24"/>
          <w:szCs w:val="24"/>
        </w:rPr>
        <w:t xml:space="preserve">trials seeking to improve post-ICU </w:t>
      </w:r>
      <w:proofErr w:type="spellStart"/>
      <w:r w:rsidR="00CD2DE3" w:rsidRPr="002B6F86">
        <w:rPr>
          <w:color w:val="000000" w:themeColor="text1"/>
          <w:sz w:val="24"/>
          <w:szCs w:val="24"/>
        </w:rPr>
        <w:t>HRQoL</w:t>
      </w:r>
      <w:proofErr w:type="spellEnd"/>
      <w:r w:rsidR="00CD2DE3" w:rsidRPr="002B6F86">
        <w:rPr>
          <w:color w:val="000000" w:themeColor="text1"/>
          <w:sz w:val="24"/>
          <w:szCs w:val="24"/>
        </w:rPr>
        <w:t xml:space="preserve"> </w:t>
      </w:r>
      <w:r w:rsidR="001D487E" w:rsidRPr="002B6F86">
        <w:rPr>
          <w:color w:val="000000" w:themeColor="text1"/>
          <w:sz w:val="24"/>
          <w:szCs w:val="24"/>
        </w:rPr>
        <w:t>for example,</w:t>
      </w:r>
      <w:r w:rsidR="00012D2A" w:rsidRPr="002B6F86">
        <w:rPr>
          <w:color w:val="000000" w:themeColor="text1"/>
          <w:sz w:val="24"/>
          <w:szCs w:val="24"/>
        </w:rPr>
        <w:t xml:space="preserve"> </w:t>
      </w:r>
      <w:r w:rsidR="001D487E" w:rsidRPr="002B6F86">
        <w:rPr>
          <w:color w:val="000000" w:themeColor="text1"/>
          <w:sz w:val="24"/>
          <w:szCs w:val="24"/>
        </w:rPr>
        <w:t>m</w:t>
      </w:r>
      <w:r w:rsidR="00FF2DD8" w:rsidRPr="002B6F86">
        <w:rPr>
          <w:color w:val="000000" w:themeColor="text1"/>
          <w:sz w:val="24"/>
          <w:szCs w:val="24"/>
        </w:rPr>
        <w:t>ore</w:t>
      </w:r>
      <w:r w:rsidR="001D487E" w:rsidRPr="002B6F86">
        <w:rPr>
          <w:color w:val="000000" w:themeColor="text1"/>
          <w:sz w:val="24"/>
          <w:szCs w:val="24"/>
        </w:rPr>
        <w:t xml:space="preserve"> comorbid patients may </w:t>
      </w:r>
      <w:r w:rsidR="00FF2DD8" w:rsidRPr="002B6F86">
        <w:rPr>
          <w:color w:val="000000" w:themeColor="text1"/>
          <w:sz w:val="24"/>
          <w:szCs w:val="24"/>
        </w:rPr>
        <w:t>have limited or no responsiveness</w:t>
      </w:r>
      <w:r w:rsidR="001D487E" w:rsidRPr="002B6F86">
        <w:rPr>
          <w:color w:val="000000" w:themeColor="text1"/>
          <w:sz w:val="24"/>
          <w:szCs w:val="24"/>
        </w:rPr>
        <w:t xml:space="preserve"> to the trial intervention</w:t>
      </w:r>
      <w:r w:rsidR="00FF2DD8" w:rsidRPr="002B6F86">
        <w:rPr>
          <w:color w:val="000000" w:themeColor="text1"/>
          <w:sz w:val="24"/>
          <w:szCs w:val="24"/>
        </w:rPr>
        <w:t xml:space="preserve">, which could mask important effects in less comorbid groups. In future trials and outcomes research we believe our data show that careful consideration of pre-existing health status is essential when </w:t>
      </w:r>
      <w:proofErr w:type="spellStart"/>
      <w:r w:rsidR="00FF2DD8" w:rsidRPr="002B6F86">
        <w:rPr>
          <w:color w:val="000000" w:themeColor="text1"/>
          <w:sz w:val="24"/>
          <w:szCs w:val="24"/>
        </w:rPr>
        <w:t>HRQoL</w:t>
      </w:r>
      <w:proofErr w:type="spellEnd"/>
      <w:r w:rsidR="00FF2DD8" w:rsidRPr="002B6F86">
        <w:rPr>
          <w:color w:val="000000" w:themeColor="text1"/>
          <w:sz w:val="24"/>
          <w:szCs w:val="24"/>
        </w:rPr>
        <w:t xml:space="preserve"> or similar patient-centred measures</w:t>
      </w:r>
      <w:r w:rsidR="001D487E" w:rsidRPr="002B6F86">
        <w:rPr>
          <w:color w:val="000000" w:themeColor="text1"/>
          <w:sz w:val="24"/>
          <w:szCs w:val="24"/>
        </w:rPr>
        <w:t xml:space="preserve"> </w:t>
      </w:r>
      <w:r w:rsidR="00FF2DD8" w:rsidRPr="002B6F86">
        <w:rPr>
          <w:color w:val="000000" w:themeColor="text1"/>
          <w:sz w:val="24"/>
          <w:szCs w:val="24"/>
        </w:rPr>
        <w:t xml:space="preserve">are key long-term outcomes, as has been recently </w:t>
      </w:r>
      <w:proofErr w:type="gramStart"/>
      <w:r w:rsidR="00FF2DD8" w:rsidRPr="002B6F86">
        <w:rPr>
          <w:color w:val="000000" w:themeColor="text1"/>
          <w:sz w:val="24"/>
          <w:szCs w:val="24"/>
        </w:rPr>
        <w:t>recommended.</w:t>
      </w:r>
      <w:r w:rsidR="00685DCE">
        <w:rPr>
          <w:noProof/>
          <w:color w:val="000000" w:themeColor="text1"/>
          <w:sz w:val="24"/>
          <w:szCs w:val="24"/>
        </w:rPr>
        <w:t>(</w:t>
      </w:r>
      <w:proofErr w:type="gramEnd"/>
      <w:r w:rsidR="00685DCE">
        <w:rPr>
          <w:noProof/>
          <w:color w:val="000000" w:themeColor="text1"/>
          <w:sz w:val="24"/>
          <w:szCs w:val="24"/>
        </w:rPr>
        <w:t>14)</w:t>
      </w:r>
      <w:r w:rsidR="00FF2DD8" w:rsidRPr="002B6F86">
        <w:rPr>
          <w:color w:val="000000" w:themeColor="text1"/>
          <w:sz w:val="24"/>
          <w:szCs w:val="24"/>
        </w:rPr>
        <w:t xml:space="preserve"> These factors need to be considered when defining study populations, which baseline data to collect, and how statistical adjustment is undertaken during analyses. Failure to consider these issues</w:t>
      </w:r>
      <w:r w:rsidR="001D487E" w:rsidRPr="002B6F86">
        <w:rPr>
          <w:color w:val="000000" w:themeColor="text1"/>
          <w:sz w:val="24"/>
          <w:szCs w:val="24"/>
        </w:rPr>
        <w:t xml:space="preserve"> may undermine power calculations and mask important clinical effects in less comorbid </w:t>
      </w:r>
      <w:proofErr w:type="gramStart"/>
      <w:r w:rsidR="001D487E" w:rsidRPr="002B6F86">
        <w:rPr>
          <w:color w:val="000000" w:themeColor="text1"/>
          <w:sz w:val="24"/>
          <w:szCs w:val="24"/>
        </w:rPr>
        <w:t>patients.</w:t>
      </w:r>
      <w:r w:rsidR="00685DCE">
        <w:rPr>
          <w:noProof/>
          <w:color w:val="000000" w:themeColor="text1"/>
          <w:sz w:val="24"/>
          <w:szCs w:val="24"/>
        </w:rPr>
        <w:t>(</w:t>
      </w:r>
      <w:proofErr w:type="gramEnd"/>
      <w:r w:rsidR="00685DCE">
        <w:rPr>
          <w:noProof/>
          <w:color w:val="000000" w:themeColor="text1"/>
          <w:sz w:val="24"/>
          <w:szCs w:val="24"/>
        </w:rPr>
        <w:t>12)</w:t>
      </w:r>
      <w:r w:rsidR="001D487E" w:rsidRPr="002B6F86">
        <w:rPr>
          <w:color w:val="000000" w:themeColor="text1"/>
          <w:sz w:val="24"/>
          <w:szCs w:val="24"/>
        </w:rPr>
        <w:t xml:space="preserve">  </w:t>
      </w:r>
      <w:r w:rsidR="00513278" w:rsidRPr="002B6F86">
        <w:rPr>
          <w:color w:val="000000" w:themeColor="text1"/>
          <w:sz w:val="24"/>
          <w:szCs w:val="24"/>
        </w:rPr>
        <w:t xml:space="preserve"> </w:t>
      </w:r>
    </w:p>
    <w:p w14:paraId="505B2A2C" w14:textId="3FC5378D" w:rsidR="006E51BB" w:rsidRPr="002B6F86" w:rsidRDefault="006E51BB">
      <w:pPr>
        <w:spacing w:line="480" w:lineRule="auto"/>
        <w:jc w:val="both"/>
        <w:rPr>
          <w:b/>
          <w:color w:val="000000" w:themeColor="text1"/>
          <w:sz w:val="24"/>
          <w:szCs w:val="24"/>
        </w:rPr>
      </w:pPr>
      <w:r w:rsidRPr="002B6F86">
        <w:rPr>
          <w:b/>
          <w:color w:val="000000" w:themeColor="text1"/>
          <w:sz w:val="24"/>
          <w:szCs w:val="24"/>
        </w:rPr>
        <w:t>CONCLUSION</w:t>
      </w:r>
      <w:r w:rsidR="006F1F44">
        <w:rPr>
          <w:b/>
          <w:color w:val="000000" w:themeColor="text1"/>
          <w:sz w:val="24"/>
          <w:szCs w:val="24"/>
        </w:rPr>
        <w:t>S</w:t>
      </w:r>
    </w:p>
    <w:p w14:paraId="3D4B0C0A" w14:textId="0B201344" w:rsidR="00305E17" w:rsidRPr="002B6F86" w:rsidRDefault="002A361F" w:rsidP="00B34E09">
      <w:pPr>
        <w:spacing w:line="480" w:lineRule="auto"/>
        <w:ind w:firstLine="720"/>
        <w:jc w:val="both"/>
        <w:rPr>
          <w:color w:val="000000" w:themeColor="text1"/>
          <w:sz w:val="24"/>
          <w:szCs w:val="24"/>
        </w:rPr>
      </w:pPr>
      <w:r w:rsidRPr="002B6F86">
        <w:rPr>
          <w:color w:val="000000" w:themeColor="text1"/>
          <w:sz w:val="24"/>
          <w:szCs w:val="24"/>
        </w:rPr>
        <w:t xml:space="preserve">In a </w:t>
      </w:r>
      <w:r w:rsidR="00FE15E9" w:rsidRPr="002B6F86">
        <w:rPr>
          <w:color w:val="000000" w:themeColor="text1"/>
          <w:sz w:val="24"/>
          <w:szCs w:val="24"/>
        </w:rPr>
        <w:t xml:space="preserve">prospectively studied </w:t>
      </w:r>
      <w:r w:rsidRPr="002B6F86">
        <w:rPr>
          <w:color w:val="000000" w:themeColor="text1"/>
          <w:sz w:val="24"/>
          <w:szCs w:val="24"/>
        </w:rPr>
        <w:t xml:space="preserve">sample derived from a post-ICU rehabilitation trial, </w:t>
      </w:r>
      <w:proofErr w:type="spellStart"/>
      <w:r w:rsidR="00E02CC1" w:rsidRPr="002B6F86">
        <w:rPr>
          <w:color w:val="000000" w:themeColor="text1"/>
          <w:sz w:val="24"/>
          <w:szCs w:val="24"/>
        </w:rPr>
        <w:t>HRQoL</w:t>
      </w:r>
      <w:proofErr w:type="spellEnd"/>
      <w:r w:rsidR="00E02CC1" w:rsidRPr="002B6F86">
        <w:rPr>
          <w:color w:val="000000" w:themeColor="text1"/>
          <w:sz w:val="24"/>
          <w:szCs w:val="24"/>
        </w:rPr>
        <w:t xml:space="preserve"> </w:t>
      </w:r>
      <w:r w:rsidRPr="002B6F86">
        <w:rPr>
          <w:color w:val="000000" w:themeColor="text1"/>
          <w:sz w:val="24"/>
          <w:szCs w:val="24"/>
        </w:rPr>
        <w:t xml:space="preserve">was </w:t>
      </w:r>
      <w:r w:rsidR="00E02CC1" w:rsidRPr="002B6F86">
        <w:rPr>
          <w:color w:val="000000" w:themeColor="text1"/>
          <w:sz w:val="24"/>
          <w:szCs w:val="24"/>
        </w:rPr>
        <w:t>reduced in ICU survivors</w:t>
      </w:r>
      <w:r w:rsidR="00E55401" w:rsidRPr="002B6F86">
        <w:rPr>
          <w:color w:val="000000" w:themeColor="text1"/>
          <w:sz w:val="24"/>
          <w:szCs w:val="24"/>
        </w:rPr>
        <w:t xml:space="preserve">. Many patients failed to experience clinically important improvement in </w:t>
      </w:r>
      <w:proofErr w:type="spellStart"/>
      <w:r w:rsidR="00E55401" w:rsidRPr="002B6F86">
        <w:rPr>
          <w:color w:val="000000" w:themeColor="text1"/>
          <w:sz w:val="24"/>
          <w:szCs w:val="24"/>
        </w:rPr>
        <w:t>HRQoL</w:t>
      </w:r>
      <w:proofErr w:type="spellEnd"/>
      <w:r w:rsidR="00E55401" w:rsidRPr="002B6F86">
        <w:rPr>
          <w:color w:val="000000" w:themeColor="text1"/>
          <w:sz w:val="24"/>
          <w:szCs w:val="24"/>
        </w:rPr>
        <w:t xml:space="preserve"> between 3 and 12 months</w:t>
      </w:r>
      <w:r w:rsidR="00E02CC1" w:rsidRPr="002B6F86">
        <w:rPr>
          <w:color w:val="000000" w:themeColor="text1"/>
          <w:sz w:val="24"/>
          <w:szCs w:val="24"/>
        </w:rPr>
        <w:t xml:space="preserve">. </w:t>
      </w:r>
      <w:r w:rsidR="00E55401" w:rsidRPr="002B6F86">
        <w:rPr>
          <w:color w:val="000000" w:themeColor="text1"/>
          <w:sz w:val="24"/>
          <w:szCs w:val="24"/>
        </w:rPr>
        <w:t>Pre-critical illness c</w:t>
      </w:r>
      <w:r w:rsidR="007C5D8D" w:rsidRPr="002B6F86">
        <w:rPr>
          <w:color w:val="000000" w:themeColor="text1"/>
          <w:sz w:val="24"/>
          <w:szCs w:val="24"/>
        </w:rPr>
        <w:t>omorbidity</w:t>
      </w:r>
      <w:r w:rsidR="00CA7825" w:rsidRPr="002B6F86">
        <w:rPr>
          <w:color w:val="000000" w:themeColor="text1"/>
          <w:sz w:val="24"/>
          <w:szCs w:val="24"/>
        </w:rPr>
        <w:t xml:space="preserve"> </w:t>
      </w:r>
      <w:r w:rsidR="00852FAC" w:rsidRPr="002B6F86">
        <w:rPr>
          <w:color w:val="000000" w:themeColor="text1"/>
          <w:sz w:val="24"/>
          <w:szCs w:val="24"/>
        </w:rPr>
        <w:t>rather than features of the critical illness</w:t>
      </w:r>
      <w:r w:rsidR="006F773C" w:rsidRPr="002B6F86">
        <w:rPr>
          <w:color w:val="000000" w:themeColor="text1"/>
          <w:sz w:val="24"/>
          <w:szCs w:val="24"/>
        </w:rPr>
        <w:t xml:space="preserve"> </w:t>
      </w:r>
      <w:r w:rsidRPr="002B6F86">
        <w:rPr>
          <w:color w:val="000000" w:themeColor="text1"/>
          <w:sz w:val="24"/>
          <w:szCs w:val="24"/>
        </w:rPr>
        <w:t xml:space="preserve">were </w:t>
      </w:r>
      <w:r w:rsidR="00CD1BB3" w:rsidRPr="002B6F86">
        <w:rPr>
          <w:color w:val="000000" w:themeColor="text1"/>
          <w:sz w:val="24"/>
          <w:szCs w:val="24"/>
        </w:rPr>
        <w:t>the</w:t>
      </w:r>
      <w:r w:rsidR="006F773C" w:rsidRPr="002B6F86">
        <w:rPr>
          <w:color w:val="000000" w:themeColor="text1"/>
          <w:sz w:val="24"/>
          <w:szCs w:val="24"/>
        </w:rPr>
        <w:t xml:space="preserve"> strong</w:t>
      </w:r>
      <w:r w:rsidR="00CD1BB3" w:rsidRPr="002B6F86">
        <w:rPr>
          <w:color w:val="000000" w:themeColor="text1"/>
          <w:sz w:val="24"/>
          <w:szCs w:val="24"/>
        </w:rPr>
        <w:t>est</w:t>
      </w:r>
      <w:r w:rsidR="006F773C" w:rsidRPr="002B6F86">
        <w:rPr>
          <w:color w:val="000000" w:themeColor="text1"/>
          <w:sz w:val="24"/>
          <w:szCs w:val="24"/>
        </w:rPr>
        <w:t xml:space="preserve"> predi</w:t>
      </w:r>
      <w:r w:rsidR="000031A1" w:rsidRPr="002B6F86">
        <w:rPr>
          <w:color w:val="000000" w:themeColor="text1"/>
          <w:sz w:val="24"/>
          <w:szCs w:val="24"/>
        </w:rPr>
        <w:t>ctors</w:t>
      </w:r>
      <w:r w:rsidR="002356C4" w:rsidRPr="002B6F86">
        <w:rPr>
          <w:color w:val="000000" w:themeColor="text1"/>
          <w:sz w:val="24"/>
          <w:szCs w:val="24"/>
        </w:rPr>
        <w:t xml:space="preserve"> of </w:t>
      </w:r>
      <w:r w:rsidR="00E55401" w:rsidRPr="002B6F86">
        <w:rPr>
          <w:color w:val="000000" w:themeColor="text1"/>
          <w:sz w:val="24"/>
          <w:szCs w:val="24"/>
        </w:rPr>
        <w:t xml:space="preserve">survivors’ </w:t>
      </w:r>
      <w:proofErr w:type="spellStart"/>
      <w:r w:rsidR="002356C4" w:rsidRPr="002B6F86">
        <w:rPr>
          <w:color w:val="000000" w:themeColor="text1"/>
          <w:sz w:val="24"/>
          <w:szCs w:val="24"/>
        </w:rPr>
        <w:t>HRQoL</w:t>
      </w:r>
      <w:proofErr w:type="spellEnd"/>
      <w:r w:rsidR="002356C4" w:rsidRPr="002B6F86">
        <w:rPr>
          <w:color w:val="000000" w:themeColor="text1"/>
          <w:sz w:val="24"/>
          <w:szCs w:val="24"/>
        </w:rPr>
        <w:t xml:space="preserve"> and </w:t>
      </w:r>
      <w:r w:rsidR="00E55401" w:rsidRPr="002B6F86">
        <w:rPr>
          <w:color w:val="000000" w:themeColor="text1"/>
          <w:sz w:val="24"/>
          <w:szCs w:val="24"/>
        </w:rPr>
        <w:t>self</w:t>
      </w:r>
      <w:r w:rsidR="00FE15E9" w:rsidRPr="002B6F86">
        <w:rPr>
          <w:color w:val="000000" w:themeColor="text1"/>
          <w:sz w:val="24"/>
          <w:szCs w:val="24"/>
        </w:rPr>
        <w:t xml:space="preserve">-reported </w:t>
      </w:r>
      <w:r w:rsidR="002356C4" w:rsidRPr="002B6F86">
        <w:rPr>
          <w:color w:val="000000" w:themeColor="text1"/>
          <w:sz w:val="24"/>
          <w:szCs w:val="24"/>
        </w:rPr>
        <w:t xml:space="preserve">physical symptoms </w:t>
      </w:r>
      <w:r w:rsidR="00FF2DD8" w:rsidRPr="002B6F86">
        <w:rPr>
          <w:color w:val="000000" w:themeColor="text1"/>
          <w:sz w:val="24"/>
          <w:szCs w:val="24"/>
        </w:rPr>
        <w:t xml:space="preserve">during the 3 to 12 months following </w:t>
      </w:r>
      <w:r w:rsidR="002356C4" w:rsidRPr="002B6F86">
        <w:rPr>
          <w:color w:val="000000" w:themeColor="text1"/>
          <w:sz w:val="24"/>
          <w:szCs w:val="24"/>
        </w:rPr>
        <w:t>ICU</w:t>
      </w:r>
      <w:r w:rsidRPr="002B6F86">
        <w:rPr>
          <w:color w:val="000000" w:themeColor="text1"/>
          <w:sz w:val="24"/>
          <w:szCs w:val="24"/>
        </w:rPr>
        <w:t xml:space="preserve"> </w:t>
      </w:r>
      <w:r w:rsidR="00FF2DD8" w:rsidRPr="002B6F86">
        <w:rPr>
          <w:color w:val="000000" w:themeColor="text1"/>
          <w:sz w:val="24"/>
          <w:szCs w:val="24"/>
        </w:rPr>
        <w:t>discharge</w:t>
      </w:r>
      <w:r w:rsidR="001D487E" w:rsidRPr="002B6F86">
        <w:rPr>
          <w:color w:val="000000" w:themeColor="text1"/>
          <w:sz w:val="24"/>
          <w:szCs w:val="24"/>
        </w:rPr>
        <w:t>.</w:t>
      </w:r>
      <w:r w:rsidRPr="002B6F86">
        <w:rPr>
          <w:color w:val="000000" w:themeColor="text1"/>
          <w:sz w:val="24"/>
          <w:szCs w:val="24"/>
        </w:rPr>
        <w:t xml:space="preserve"> </w:t>
      </w:r>
    </w:p>
    <w:p w14:paraId="7E931356" w14:textId="446FF2A1" w:rsidR="002A48CC" w:rsidRPr="002B6F86" w:rsidRDefault="002A48CC">
      <w:pPr>
        <w:spacing w:line="480" w:lineRule="auto"/>
        <w:jc w:val="both"/>
        <w:rPr>
          <w:b/>
          <w:color w:val="000000" w:themeColor="text1"/>
          <w:sz w:val="24"/>
          <w:szCs w:val="24"/>
        </w:rPr>
      </w:pPr>
      <w:r w:rsidRPr="002B6F86">
        <w:rPr>
          <w:b/>
          <w:color w:val="000000" w:themeColor="text1"/>
          <w:sz w:val="24"/>
          <w:szCs w:val="24"/>
        </w:rPr>
        <w:t>Acknowledgements</w:t>
      </w:r>
    </w:p>
    <w:p w14:paraId="06494886" w14:textId="38E3E414" w:rsidR="002A48CC" w:rsidRPr="002B6F86" w:rsidRDefault="002A48CC" w:rsidP="00B34E09">
      <w:pPr>
        <w:spacing w:line="480" w:lineRule="auto"/>
        <w:ind w:firstLine="720"/>
        <w:jc w:val="both"/>
        <w:rPr>
          <w:color w:val="000000" w:themeColor="text1"/>
          <w:sz w:val="24"/>
          <w:szCs w:val="24"/>
        </w:rPr>
      </w:pPr>
      <w:r w:rsidRPr="002B6F86">
        <w:rPr>
          <w:color w:val="000000" w:themeColor="text1"/>
          <w:sz w:val="24"/>
          <w:szCs w:val="24"/>
        </w:rPr>
        <w:lastRenderedPageBreak/>
        <w:t xml:space="preserve">This </w:t>
      </w:r>
      <w:r w:rsidR="00D46593" w:rsidRPr="002B6F86">
        <w:rPr>
          <w:color w:val="000000" w:themeColor="text1"/>
          <w:sz w:val="24"/>
          <w:szCs w:val="24"/>
        </w:rPr>
        <w:t>work</w:t>
      </w:r>
      <w:r w:rsidRPr="002B6F86">
        <w:rPr>
          <w:color w:val="000000" w:themeColor="text1"/>
          <w:sz w:val="24"/>
          <w:szCs w:val="24"/>
        </w:rPr>
        <w:t xml:space="preserve"> was </w:t>
      </w:r>
      <w:r w:rsidR="00D46593" w:rsidRPr="002B6F86">
        <w:rPr>
          <w:color w:val="000000" w:themeColor="text1"/>
          <w:sz w:val="24"/>
          <w:szCs w:val="24"/>
        </w:rPr>
        <w:t>conducted</w:t>
      </w:r>
      <w:r w:rsidRPr="002B6F86">
        <w:rPr>
          <w:color w:val="000000" w:themeColor="text1"/>
          <w:sz w:val="24"/>
          <w:szCs w:val="24"/>
        </w:rPr>
        <w:t xml:space="preserve"> on behalf of the RECOVER investigators</w:t>
      </w:r>
      <w:r w:rsidR="009F05F5" w:rsidRPr="002B6F86">
        <w:rPr>
          <w:color w:val="000000" w:themeColor="text1"/>
          <w:sz w:val="24"/>
          <w:szCs w:val="24"/>
        </w:rPr>
        <w:t xml:space="preserve"> (group author)</w:t>
      </w:r>
      <w:r w:rsidRPr="002B6F86">
        <w:rPr>
          <w:color w:val="000000" w:themeColor="text1"/>
          <w:sz w:val="24"/>
          <w:szCs w:val="24"/>
        </w:rPr>
        <w:t xml:space="preserve">:  T S Walsh, L G Salisbury, J L Merriweather, J A Boyd, D M Griffith, G </w:t>
      </w:r>
      <w:proofErr w:type="spellStart"/>
      <w:r w:rsidRPr="002B6F86">
        <w:rPr>
          <w:color w:val="000000" w:themeColor="text1"/>
          <w:sz w:val="24"/>
          <w:szCs w:val="24"/>
        </w:rPr>
        <w:t>Huby</w:t>
      </w:r>
      <w:proofErr w:type="spellEnd"/>
      <w:r w:rsidRPr="002B6F86">
        <w:rPr>
          <w:color w:val="000000" w:themeColor="text1"/>
          <w:sz w:val="24"/>
          <w:szCs w:val="24"/>
        </w:rPr>
        <w:t xml:space="preserve">, S Kean, S J Mackenzie, A Krishan, S C Lewis, G D Murray, J F Forbes, J Smith, J E Rattray, A M Hull, P Ramsay, C Wallis, J Stewart, A Bateman, E Wilson, M Gillies, D Hope, H Dawson, C McCulloch, J </w:t>
      </w:r>
      <w:proofErr w:type="spellStart"/>
      <w:r w:rsidRPr="002B6F86">
        <w:rPr>
          <w:color w:val="000000" w:themeColor="text1"/>
          <w:sz w:val="24"/>
          <w:szCs w:val="24"/>
        </w:rPr>
        <w:t>Antonelli</w:t>
      </w:r>
      <w:proofErr w:type="spellEnd"/>
      <w:r w:rsidRPr="002B6F86">
        <w:rPr>
          <w:color w:val="000000" w:themeColor="text1"/>
          <w:sz w:val="24"/>
          <w:szCs w:val="24"/>
        </w:rPr>
        <w:t xml:space="preserve">, L Boardman, L Dow, W Williams, A McCann, S Alexander, J Norrie, M Dennis, C </w:t>
      </w:r>
      <w:proofErr w:type="spellStart"/>
      <w:r w:rsidRPr="002B6F86">
        <w:rPr>
          <w:color w:val="000000" w:themeColor="text1"/>
          <w:sz w:val="24"/>
          <w:szCs w:val="24"/>
        </w:rPr>
        <w:t>Waldmann</w:t>
      </w:r>
      <w:proofErr w:type="spellEnd"/>
      <w:r w:rsidRPr="002B6F86">
        <w:rPr>
          <w:color w:val="000000" w:themeColor="text1"/>
          <w:sz w:val="24"/>
          <w:szCs w:val="24"/>
        </w:rPr>
        <w:t xml:space="preserve"> and S Brett.</w:t>
      </w:r>
    </w:p>
    <w:p w14:paraId="3B4134EE" w14:textId="6B59BED4" w:rsidR="000432B5" w:rsidRPr="002B6F86" w:rsidRDefault="000432B5">
      <w:pPr>
        <w:spacing w:line="480" w:lineRule="auto"/>
        <w:jc w:val="both"/>
        <w:rPr>
          <w:color w:val="000000" w:themeColor="text1"/>
          <w:sz w:val="24"/>
          <w:szCs w:val="24"/>
        </w:rPr>
      </w:pPr>
      <w:r w:rsidRPr="002B6F86">
        <w:rPr>
          <w:color w:val="000000" w:themeColor="text1"/>
          <w:sz w:val="24"/>
          <w:szCs w:val="24"/>
        </w:rPr>
        <w:br w:type="page"/>
      </w:r>
    </w:p>
    <w:p w14:paraId="7F89C171" w14:textId="77777777" w:rsidR="009C7AF6" w:rsidRPr="002B6F86" w:rsidRDefault="009C7AF6">
      <w:pPr>
        <w:spacing w:line="480" w:lineRule="auto"/>
        <w:jc w:val="both"/>
        <w:rPr>
          <w:color w:val="000000" w:themeColor="text1"/>
          <w:sz w:val="24"/>
          <w:szCs w:val="24"/>
        </w:rPr>
      </w:pPr>
    </w:p>
    <w:p w14:paraId="5E8EA130" w14:textId="4222C513" w:rsidR="002741E0" w:rsidRPr="00B34E09" w:rsidRDefault="00A234CC">
      <w:pPr>
        <w:pStyle w:val="Bibliography"/>
        <w:spacing w:line="480" w:lineRule="auto"/>
        <w:ind w:left="0" w:firstLine="0"/>
        <w:rPr>
          <w:rFonts w:asciiTheme="minorHAnsi" w:hAnsiTheme="minorHAnsi"/>
          <w:b/>
          <w:color w:val="000000"/>
          <w:sz w:val="24"/>
          <w:szCs w:val="24"/>
        </w:rPr>
      </w:pPr>
      <w:r w:rsidRPr="00B34E09">
        <w:rPr>
          <w:rFonts w:asciiTheme="minorHAnsi" w:hAnsiTheme="minorHAnsi"/>
          <w:b/>
          <w:color w:val="000000"/>
          <w:sz w:val="24"/>
          <w:szCs w:val="24"/>
        </w:rPr>
        <w:t>REFERENCES</w:t>
      </w:r>
    </w:p>
    <w:p w14:paraId="23D852F2"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1. </w:t>
      </w:r>
      <w:r w:rsidRPr="00B34E09">
        <w:rPr>
          <w:rFonts w:asciiTheme="minorHAnsi" w:eastAsia="Times New Roman" w:hAnsiTheme="minorHAnsi"/>
          <w:sz w:val="24"/>
          <w:szCs w:val="24"/>
        </w:rPr>
        <w:tab/>
        <w:t xml:space="preserve">Cuthbertson BH, </w:t>
      </w:r>
      <w:proofErr w:type="spellStart"/>
      <w:r w:rsidRPr="00B34E09">
        <w:rPr>
          <w:rFonts w:asciiTheme="minorHAnsi" w:eastAsia="Times New Roman" w:hAnsiTheme="minorHAnsi"/>
          <w:sz w:val="24"/>
          <w:szCs w:val="24"/>
        </w:rPr>
        <w:t>Roughton</w:t>
      </w:r>
      <w:proofErr w:type="spellEnd"/>
      <w:r w:rsidRPr="00B34E09">
        <w:rPr>
          <w:rFonts w:asciiTheme="minorHAnsi" w:eastAsia="Times New Roman" w:hAnsiTheme="minorHAnsi"/>
          <w:sz w:val="24"/>
          <w:szCs w:val="24"/>
        </w:rPr>
        <w:t xml:space="preserve"> S, Jenkinson D, et al.: Quality of life in the five years after intensive care: a cohort study.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w:t>
      </w:r>
      <w:r w:rsidRPr="00B34E09">
        <w:rPr>
          <w:rFonts w:asciiTheme="minorHAnsi" w:eastAsia="Times New Roman" w:hAnsiTheme="minorHAnsi"/>
          <w:sz w:val="24"/>
          <w:szCs w:val="24"/>
        </w:rPr>
        <w:t xml:space="preserve"> 2010; </w:t>
      </w:r>
      <w:proofErr w:type="gramStart"/>
      <w:r w:rsidRPr="00B34E09">
        <w:rPr>
          <w:rFonts w:asciiTheme="minorHAnsi" w:eastAsia="Times New Roman" w:hAnsiTheme="minorHAnsi"/>
          <w:sz w:val="24"/>
          <w:szCs w:val="24"/>
        </w:rPr>
        <w:t>14:R</w:t>
      </w:r>
      <w:proofErr w:type="gramEnd"/>
      <w:r w:rsidRPr="00B34E09">
        <w:rPr>
          <w:rFonts w:asciiTheme="minorHAnsi" w:eastAsia="Times New Roman" w:hAnsiTheme="minorHAnsi"/>
          <w:sz w:val="24"/>
          <w:szCs w:val="24"/>
        </w:rPr>
        <w:t>6</w:t>
      </w:r>
    </w:p>
    <w:p w14:paraId="3CF2CAC2" w14:textId="6DFD6CF3"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2. </w:t>
      </w:r>
      <w:r w:rsidRPr="00B34E09">
        <w:rPr>
          <w:rFonts w:asciiTheme="minorHAnsi" w:eastAsia="Times New Roman" w:hAnsiTheme="minorHAnsi"/>
          <w:sz w:val="24"/>
          <w:szCs w:val="24"/>
        </w:rPr>
        <w:tab/>
        <w:t xml:space="preserve">Cuthbertson BH, Elders A, Hall S, et al.: Mortality and quality of life in the five years after severe sepsis.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 </w:t>
      </w:r>
      <w:r w:rsidRPr="00B34E09">
        <w:rPr>
          <w:rFonts w:asciiTheme="minorHAnsi" w:eastAsia="Times New Roman" w:hAnsiTheme="minorHAnsi"/>
          <w:sz w:val="24"/>
          <w:szCs w:val="24"/>
        </w:rPr>
        <w:t xml:space="preserve">2013; </w:t>
      </w:r>
      <w:proofErr w:type="gramStart"/>
      <w:r w:rsidRPr="00B34E09">
        <w:rPr>
          <w:rFonts w:asciiTheme="minorHAnsi" w:eastAsia="Times New Roman" w:hAnsiTheme="minorHAnsi"/>
          <w:sz w:val="24"/>
          <w:szCs w:val="24"/>
        </w:rPr>
        <w:t>17:R</w:t>
      </w:r>
      <w:proofErr w:type="gramEnd"/>
      <w:r w:rsidRPr="00B34E09">
        <w:rPr>
          <w:rFonts w:asciiTheme="minorHAnsi" w:eastAsia="Times New Roman" w:hAnsiTheme="minorHAnsi"/>
          <w:sz w:val="24"/>
          <w:szCs w:val="24"/>
        </w:rPr>
        <w:t>70</w:t>
      </w:r>
    </w:p>
    <w:p w14:paraId="49593AD6"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3.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Herridge</w:t>
      </w:r>
      <w:proofErr w:type="spellEnd"/>
      <w:r w:rsidRPr="00B34E09">
        <w:rPr>
          <w:rFonts w:asciiTheme="minorHAnsi" w:eastAsia="Times New Roman" w:hAnsiTheme="minorHAnsi"/>
          <w:sz w:val="24"/>
          <w:szCs w:val="24"/>
        </w:rPr>
        <w:t xml:space="preserve"> MS, Tansey CM, Matte A, et al.: Functional disability 5 years after acute respiratory distress syndrome. </w:t>
      </w:r>
      <w:r w:rsidRPr="00B34E09">
        <w:rPr>
          <w:rFonts w:asciiTheme="minorHAnsi" w:eastAsia="Times New Roman" w:hAnsiTheme="minorHAnsi"/>
          <w:i/>
          <w:iCs/>
          <w:sz w:val="24"/>
          <w:szCs w:val="24"/>
        </w:rPr>
        <w:t xml:space="preserve">N </w:t>
      </w:r>
      <w:proofErr w:type="spellStart"/>
      <w:r w:rsidRPr="00B34E09">
        <w:rPr>
          <w:rFonts w:asciiTheme="minorHAnsi" w:eastAsia="Times New Roman" w:hAnsiTheme="minorHAnsi"/>
          <w:i/>
          <w:iCs/>
          <w:sz w:val="24"/>
          <w:szCs w:val="24"/>
        </w:rPr>
        <w:t>Engl</w:t>
      </w:r>
      <w:proofErr w:type="spellEnd"/>
      <w:r w:rsidRPr="00B34E09">
        <w:rPr>
          <w:rFonts w:asciiTheme="minorHAnsi" w:eastAsia="Times New Roman" w:hAnsiTheme="minorHAnsi"/>
          <w:i/>
          <w:iCs/>
          <w:sz w:val="24"/>
          <w:szCs w:val="24"/>
        </w:rPr>
        <w:t xml:space="preserve"> J Med</w:t>
      </w:r>
      <w:r w:rsidRPr="00B34E09">
        <w:rPr>
          <w:rFonts w:asciiTheme="minorHAnsi" w:eastAsia="Times New Roman" w:hAnsiTheme="minorHAnsi"/>
          <w:sz w:val="24"/>
          <w:szCs w:val="24"/>
        </w:rPr>
        <w:t xml:space="preserve"> 2011; 364:1293–304</w:t>
      </w:r>
    </w:p>
    <w:p w14:paraId="7F32ECB8"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4. </w:t>
      </w:r>
      <w:r w:rsidRPr="00B34E09">
        <w:rPr>
          <w:rFonts w:asciiTheme="minorHAnsi" w:eastAsia="Times New Roman" w:hAnsiTheme="minorHAnsi"/>
          <w:sz w:val="24"/>
          <w:szCs w:val="24"/>
        </w:rPr>
        <w:tab/>
        <w:t xml:space="preserve">Jones C, </w:t>
      </w:r>
      <w:proofErr w:type="spellStart"/>
      <w:r w:rsidRPr="00B34E09">
        <w:rPr>
          <w:rFonts w:asciiTheme="minorHAnsi" w:eastAsia="Times New Roman" w:hAnsiTheme="minorHAnsi"/>
          <w:sz w:val="24"/>
          <w:szCs w:val="24"/>
        </w:rPr>
        <w:t>Skirrow</w:t>
      </w:r>
      <w:proofErr w:type="spellEnd"/>
      <w:r w:rsidRPr="00B34E09">
        <w:rPr>
          <w:rFonts w:asciiTheme="minorHAnsi" w:eastAsia="Times New Roman" w:hAnsiTheme="minorHAnsi"/>
          <w:sz w:val="24"/>
          <w:szCs w:val="24"/>
        </w:rPr>
        <w:t xml:space="preserve"> P, Griffiths RD, et al.: Rehabilitation after critical illness: A randomized, controlled trial: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 Med</w:t>
      </w:r>
      <w:r w:rsidRPr="00B34E09">
        <w:rPr>
          <w:rFonts w:asciiTheme="minorHAnsi" w:eastAsia="Times New Roman" w:hAnsiTheme="minorHAnsi"/>
          <w:sz w:val="24"/>
          <w:szCs w:val="24"/>
        </w:rPr>
        <w:t xml:space="preserve"> 2003; 31:2456–2461</w:t>
      </w:r>
    </w:p>
    <w:p w14:paraId="5FB04BE6" w14:textId="6468713F"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5. </w:t>
      </w:r>
      <w:r w:rsidRPr="00B34E09">
        <w:rPr>
          <w:rFonts w:asciiTheme="minorHAnsi" w:eastAsia="Times New Roman" w:hAnsiTheme="minorHAnsi"/>
          <w:sz w:val="24"/>
          <w:szCs w:val="24"/>
        </w:rPr>
        <w:tab/>
        <w:t xml:space="preserve">Walsh TS, Salisbury LG, Merriweather JL, et al.: Increased Hospital-Based Physical Rehabilitation and Information Provision After Intensive Care Unit Discharge: The RECOVER Randomized Clinical Trial. </w:t>
      </w:r>
      <w:r w:rsidRPr="00B34E09">
        <w:rPr>
          <w:rFonts w:asciiTheme="minorHAnsi" w:eastAsia="Times New Roman" w:hAnsiTheme="minorHAnsi"/>
          <w:i/>
          <w:iCs/>
          <w:sz w:val="24"/>
          <w:szCs w:val="24"/>
        </w:rPr>
        <w:t>JAMA Intern Med</w:t>
      </w:r>
      <w:r w:rsidRPr="00B34E09">
        <w:rPr>
          <w:rFonts w:asciiTheme="minorHAnsi" w:eastAsia="Times New Roman" w:hAnsiTheme="minorHAnsi"/>
          <w:sz w:val="24"/>
          <w:szCs w:val="24"/>
        </w:rPr>
        <w:t xml:space="preserve"> 2015; </w:t>
      </w:r>
      <w:r w:rsidR="00BA3EC9" w:rsidRPr="00B34E09">
        <w:rPr>
          <w:rFonts w:asciiTheme="minorHAnsi" w:eastAsia="Times New Roman" w:hAnsiTheme="minorHAnsi"/>
          <w:sz w:val="24"/>
          <w:szCs w:val="24"/>
        </w:rPr>
        <w:t>175: 901-910</w:t>
      </w:r>
    </w:p>
    <w:p w14:paraId="095C968B"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6.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Denehy</w:t>
      </w:r>
      <w:proofErr w:type="spellEnd"/>
      <w:r w:rsidRPr="00B34E09">
        <w:rPr>
          <w:rFonts w:asciiTheme="minorHAnsi" w:eastAsia="Times New Roman" w:hAnsiTheme="minorHAnsi"/>
          <w:sz w:val="24"/>
          <w:szCs w:val="24"/>
        </w:rPr>
        <w:t xml:space="preserve"> L, Skinner EH, </w:t>
      </w:r>
      <w:proofErr w:type="spellStart"/>
      <w:r w:rsidRPr="00B34E09">
        <w:rPr>
          <w:rFonts w:asciiTheme="minorHAnsi" w:eastAsia="Times New Roman" w:hAnsiTheme="minorHAnsi"/>
          <w:sz w:val="24"/>
          <w:szCs w:val="24"/>
        </w:rPr>
        <w:t>Edbrooke</w:t>
      </w:r>
      <w:proofErr w:type="spellEnd"/>
      <w:r w:rsidRPr="00B34E09">
        <w:rPr>
          <w:rFonts w:asciiTheme="minorHAnsi" w:eastAsia="Times New Roman" w:hAnsiTheme="minorHAnsi"/>
          <w:sz w:val="24"/>
          <w:szCs w:val="24"/>
        </w:rPr>
        <w:t xml:space="preserve"> L, et al.: Exercise rehabilitation for patients with critical illness: a randomized controlled trial with 12 months of follow-up.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w:t>
      </w:r>
      <w:r w:rsidRPr="00B34E09">
        <w:rPr>
          <w:rFonts w:asciiTheme="minorHAnsi" w:eastAsia="Times New Roman" w:hAnsiTheme="minorHAnsi"/>
          <w:sz w:val="24"/>
          <w:szCs w:val="24"/>
        </w:rPr>
        <w:t xml:space="preserve"> 2013; </w:t>
      </w:r>
      <w:proofErr w:type="gramStart"/>
      <w:r w:rsidRPr="00B34E09">
        <w:rPr>
          <w:rFonts w:asciiTheme="minorHAnsi" w:eastAsia="Times New Roman" w:hAnsiTheme="minorHAnsi"/>
          <w:sz w:val="24"/>
          <w:szCs w:val="24"/>
        </w:rPr>
        <w:t>17:R</w:t>
      </w:r>
      <w:proofErr w:type="gramEnd"/>
      <w:r w:rsidRPr="00B34E09">
        <w:rPr>
          <w:rFonts w:asciiTheme="minorHAnsi" w:eastAsia="Times New Roman" w:hAnsiTheme="minorHAnsi"/>
          <w:sz w:val="24"/>
          <w:szCs w:val="24"/>
        </w:rPr>
        <w:t>156</w:t>
      </w:r>
    </w:p>
    <w:p w14:paraId="4007F9C2"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7. </w:t>
      </w:r>
      <w:r w:rsidRPr="00B34E09">
        <w:rPr>
          <w:rFonts w:asciiTheme="minorHAnsi" w:eastAsia="Times New Roman" w:hAnsiTheme="minorHAnsi"/>
          <w:sz w:val="24"/>
          <w:szCs w:val="24"/>
        </w:rPr>
        <w:tab/>
        <w:t xml:space="preserve">Elliott D, McKinley S, Alison J, et al.: Health-related quality of life and physical recovery after a critical illness: a multi-centre randomised controlled trial of a home-based physical rehabilitation program.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w:t>
      </w:r>
      <w:r w:rsidRPr="00B34E09">
        <w:rPr>
          <w:rFonts w:asciiTheme="minorHAnsi" w:eastAsia="Times New Roman" w:hAnsiTheme="minorHAnsi"/>
          <w:sz w:val="24"/>
          <w:szCs w:val="24"/>
        </w:rPr>
        <w:t xml:space="preserve"> 2011; </w:t>
      </w:r>
      <w:proofErr w:type="gramStart"/>
      <w:r w:rsidRPr="00B34E09">
        <w:rPr>
          <w:rFonts w:asciiTheme="minorHAnsi" w:eastAsia="Times New Roman" w:hAnsiTheme="minorHAnsi"/>
          <w:sz w:val="24"/>
          <w:szCs w:val="24"/>
        </w:rPr>
        <w:t>15:R</w:t>
      </w:r>
      <w:proofErr w:type="gramEnd"/>
      <w:r w:rsidRPr="00B34E09">
        <w:rPr>
          <w:rFonts w:asciiTheme="minorHAnsi" w:eastAsia="Times New Roman" w:hAnsiTheme="minorHAnsi"/>
          <w:sz w:val="24"/>
          <w:szCs w:val="24"/>
        </w:rPr>
        <w:t>142</w:t>
      </w:r>
    </w:p>
    <w:p w14:paraId="0D056836"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lastRenderedPageBreak/>
        <w:t xml:space="preserve">8.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Batterham</w:t>
      </w:r>
      <w:proofErr w:type="spellEnd"/>
      <w:r w:rsidRPr="00B34E09">
        <w:rPr>
          <w:rFonts w:asciiTheme="minorHAnsi" w:eastAsia="Times New Roman" w:hAnsiTheme="minorHAnsi"/>
          <w:sz w:val="24"/>
          <w:szCs w:val="24"/>
        </w:rPr>
        <w:t xml:space="preserve"> AM, Bonner S, Wright J, et al.: Effect of supervised aerobic exercise rehabilitation on physical fitness and quality-of-life in survivors of critical illness: an exploratory minimized controlled trial (PIX study). </w:t>
      </w:r>
      <w:r w:rsidRPr="00B34E09">
        <w:rPr>
          <w:rFonts w:asciiTheme="minorHAnsi" w:eastAsia="Times New Roman" w:hAnsiTheme="minorHAnsi"/>
          <w:i/>
          <w:iCs/>
          <w:sz w:val="24"/>
          <w:szCs w:val="24"/>
        </w:rPr>
        <w:t xml:space="preserve">Br J </w:t>
      </w:r>
      <w:proofErr w:type="spellStart"/>
      <w:r w:rsidRPr="00B34E09">
        <w:rPr>
          <w:rFonts w:asciiTheme="minorHAnsi" w:eastAsia="Times New Roman" w:hAnsiTheme="minorHAnsi"/>
          <w:i/>
          <w:iCs/>
          <w:sz w:val="24"/>
          <w:szCs w:val="24"/>
        </w:rPr>
        <w:t>Anaesth</w:t>
      </w:r>
      <w:proofErr w:type="spellEnd"/>
      <w:r w:rsidRPr="00B34E09">
        <w:rPr>
          <w:rFonts w:asciiTheme="minorHAnsi" w:eastAsia="Times New Roman" w:hAnsiTheme="minorHAnsi"/>
          <w:sz w:val="24"/>
          <w:szCs w:val="24"/>
        </w:rPr>
        <w:t xml:space="preserve"> 2014; 113:130–137</w:t>
      </w:r>
    </w:p>
    <w:p w14:paraId="237BA634"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9. </w:t>
      </w:r>
      <w:r w:rsidRPr="00B34E09">
        <w:rPr>
          <w:rFonts w:asciiTheme="minorHAnsi" w:eastAsia="Times New Roman" w:hAnsiTheme="minorHAnsi"/>
          <w:sz w:val="24"/>
          <w:szCs w:val="24"/>
        </w:rPr>
        <w:tab/>
        <w:t xml:space="preserve">Moss M, </w:t>
      </w:r>
      <w:proofErr w:type="spellStart"/>
      <w:r w:rsidRPr="00B34E09">
        <w:rPr>
          <w:rFonts w:asciiTheme="minorHAnsi" w:eastAsia="Times New Roman" w:hAnsiTheme="minorHAnsi"/>
          <w:sz w:val="24"/>
          <w:szCs w:val="24"/>
        </w:rPr>
        <w:t>Nordon</w:t>
      </w:r>
      <w:proofErr w:type="spellEnd"/>
      <w:r w:rsidRPr="00B34E09">
        <w:rPr>
          <w:rFonts w:asciiTheme="minorHAnsi" w:eastAsia="Times New Roman" w:hAnsiTheme="minorHAnsi"/>
          <w:sz w:val="24"/>
          <w:szCs w:val="24"/>
        </w:rPr>
        <w:t xml:space="preserve">-Craft A, Malone D, et al.: A Randomized Trial of an Intensive Physical Therapy Program for Patients with Acute Respiratory Failure. </w:t>
      </w:r>
      <w:r w:rsidRPr="00B34E09">
        <w:rPr>
          <w:rFonts w:asciiTheme="minorHAnsi" w:eastAsia="Times New Roman" w:hAnsiTheme="minorHAnsi"/>
          <w:i/>
          <w:iCs/>
          <w:sz w:val="24"/>
          <w:szCs w:val="24"/>
        </w:rPr>
        <w:t xml:space="preserve">Am J </w:t>
      </w:r>
      <w:proofErr w:type="spellStart"/>
      <w:r w:rsidRPr="00B34E09">
        <w:rPr>
          <w:rFonts w:asciiTheme="minorHAnsi" w:eastAsia="Times New Roman" w:hAnsiTheme="minorHAnsi"/>
          <w:i/>
          <w:iCs/>
          <w:sz w:val="24"/>
          <w:szCs w:val="24"/>
        </w:rPr>
        <w:t>Respir</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 Med</w:t>
      </w:r>
      <w:r w:rsidRPr="00B34E09">
        <w:rPr>
          <w:rFonts w:asciiTheme="minorHAnsi" w:eastAsia="Times New Roman" w:hAnsiTheme="minorHAnsi"/>
          <w:sz w:val="24"/>
          <w:szCs w:val="24"/>
        </w:rPr>
        <w:t xml:space="preserve"> 2016; 193:1101–1110</w:t>
      </w:r>
    </w:p>
    <w:p w14:paraId="59A3D069"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10. </w:t>
      </w:r>
      <w:r w:rsidRPr="00B34E09">
        <w:rPr>
          <w:rFonts w:asciiTheme="minorHAnsi" w:eastAsia="Times New Roman" w:hAnsiTheme="minorHAnsi"/>
          <w:sz w:val="24"/>
          <w:szCs w:val="24"/>
        </w:rPr>
        <w:tab/>
        <w:t xml:space="preserve">Morris PE, Berry MJ, Files DC, et al.: Standardized Rehabilitation and Hospital Length of Stay Among Patients </w:t>
      </w:r>
      <w:proofErr w:type="gramStart"/>
      <w:r w:rsidRPr="00B34E09">
        <w:rPr>
          <w:rFonts w:asciiTheme="minorHAnsi" w:eastAsia="Times New Roman" w:hAnsiTheme="minorHAnsi"/>
          <w:sz w:val="24"/>
          <w:szCs w:val="24"/>
        </w:rPr>
        <w:t>With</w:t>
      </w:r>
      <w:proofErr w:type="gramEnd"/>
      <w:r w:rsidRPr="00B34E09">
        <w:rPr>
          <w:rFonts w:asciiTheme="minorHAnsi" w:eastAsia="Times New Roman" w:hAnsiTheme="minorHAnsi"/>
          <w:sz w:val="24"/>
          <w:szCs w:val="24"/>
        </w:rPr>
        <w:t xml:space="preserve"> Acute Respiratory Failure: A Randomized Clinical Trial. </w:t>
      </w:r>
      <w:r w:rsidRPr="00B34E09">
        <w:rPr>
          <w:rFonts w:asciiTheme="minorHAnsi" w:eastAsia="Times New Roman" w:hAnsiTheme="minorHAnsi"/>
          <w:i/>
          <w:iCs/>
          <w:sz w:val="24"/>
          <w:szCs w:val="24"/>
        </w:rPr>
        <w:t>JAMA</w:t>
      </w:r>
      <w:r w:rsidRPr="00B34E09">
        <w:rPr>
          <w:rFonts w:asciiTheme="minorHAnsi" w:eastAsia="Times New Roman" w:hAnsiTheme="minorHAnsi"/>
          <w:sz w:val="24"/>
          <w:szCs w:val="24"/>
        </w:rPr>
        <w:t xml:space="preserve"> 2016; 315:2694–2702</w:t>
      </w:r>
    </w:p>
    <w:p w14:paraId="7C7F3CD5"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11. </w:t>
      </w:r>
      <w:r w:rsidRPr="00B34E09">
        <w:rPr>
          <w:rFonts w:asciiTheme="minorHAnsi" w:eastAsia="Times New Roman" w:hAnsiTheme="minorHAnsi"/>
          <w:sz w:val="24"/>
          <w:szCs w:val="24"/>
        </w:rPr>
        <w:tab/>
        <w:t xml:space="preserve">Wright SE, Thomas K, Watson G, et al.: Intensive versus standard physical rehabilitation therapy in the critically ill (EPICC): a multicentre, parallel-group, randomised controlled trial. </w:t>
      </w:r>
      <w:r w:rsidRPr="00B34E09">
        <w:rPr>
          <w:rFonts w:asciiTheme="minorHAnsi" w:eastAsia="Times New Roman" w:hAnsiTheme="minorHAnsi"/>
          <w:i/>
          <w:iCs/>
          <w:sz w:val="24"/>
          <w:szCs w:val="24"/>
        </w:rPr>
        <w:t>Thorax</w:t>
      </w:r>
      <w:r w:rsidRPr="00B34E09">
        <w:rPr>
          <w:rFonts w:asciiTheme="minorHAnsi" w:eastAsia="Times New Roman" w:hAnsiTheme="minorHAnsi"/>
          <w:sz w:val="24"/>
          <w:szCs w:val="24"/>
        </w:rPr>
        <w:t xml:space="preserve"> 2017; thoraxjnl-2016-209858</w:t>
      </w:r>
    </w:p>
    <w:p w14:paraId="384DBEC6"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12.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Puthucheary</w:t>
      </w:r>
      <w:proofErr w:type="spellEnd"/>
      <w:r w:rsidRPr="00B34E09">
        <w:rPr>
          <w:rFonts w:asciiTheme="minorHAnsi" w:eastAsia="Times New Roman" w:hAnsiTheme="minorHAnsi"/>
          <w:sz w:val="24"/>
          <w:szCs w:val="24"/>
        </w:rPr>
        <w:t xml:space="preserve"> ZA, </w:t>
      </w:r>
      <w:proofErr w:type="spellStart"/>
      <w:r w:rsidRPr="00B34E09">
        <w:rPr>
          <w:rFonts w:asciiTheme="minorHAnsi" w:eastAsia="Times New Roman" w:hAnsiTheme="minorHAnsi"/>
          <w:sz w:val="24"/>
          <w:szCs w:val="24"/>
        </w:rPr>
        <w:t>Denehy</w:t>
      </w:r>
      <w:proofErr w:type="spellEnd"/>
      <w:r w:rsidRPr="00B34E09">
        <w:rPr>
          <w:rFonts w:asciiTheme="minorHAnsi" w:eastAsia="Times New Roman" w:hAnsiTheme="minorHAnsi"/>
          <w:sz w:val="24"/>
          <w:szCs w:val="24"/>
        </w:rPr>
        <w:t xml:space="preserve"> L: Exercise Interventions in Critical Illness Survivors: Understanding Inclusion and Stratification Criteria. </w:t>
      </w:r>
      <w:r w:rsidRPr="00B34E09">
        <w:rPr>
          <w:rFonts w:asciiTheme="minorHAnsi" w:eastAsia="Times New Roman" w:hAnsiTheme="minorHAnsi"/>
          <w:i/>
          <w:iCs/>
          <w:sz w:val="24"/>
          <w:szCs w:val="24"/>
        </w:rPr>
        <w:t xml:space="preserve">Am J </w:t>
      </w:r>
      <w:proofErr w:type="spellStart"/>
      <w:r w:rsidRPr="00B34E09">
        <w:rPr>
          <w:rFonts w:asciiTheme="minorHAnsi" w:eastAsia="Times New Roman" w:hAnsiTheme="minorHAnsi"/>
          <w:i/>
          <w:iCs/>
          <w:sz w:val="24"/>
          <w:szCs w:val="24"/>
        </w:rPr>
        <w:t>Respir</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 Med</w:t>
      </w:r>
      <w:r w:rsidRPr="00B34E09">
        <w:rPr>
          <w:rFonts w:asciiTheme="minorHAnsi" w:eastAsia="Times New Roman" w:hAnsiTheme="minorHAnsi"/>
          <w:sz w:val="24"/>
          <w:szCs w:val="24"/>
        </w:rPr>
        <w:t xml:space="preserve"> 2015; 191:1464–1467</w:t>
      </w:r>
    </w:p>
    <w:p w14:paraId="199C9477"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13. </w:t>
      </w:r>
      <w:r w:rsidRPr="00B34E09">
        <w:rPr>
          <w:rFonts w:asciiTheme="minorHAnsi" w:eastAsia="Times New Roman" w:hAnsiTheme="minorHAnsi"/>
          <w:sz w:val="24"/>
          <w:szCs w:val="24"/>
        </w:rPr>
        <w:tab/>
        <w:t xml:space="preserve">Cuthbertson BH, </w:t>
      </w:r>
      <w:proofErr w:type="spellStart"/>
      <w:r w:rsidRPr="00B34E09">
        <w:rPr>
          <w:rFonts w:asciiTheme="minorHAnsi" w:eastAsia="Times New Roman" w:hAnsiTheme="minorHAnsi"/>
          <w:sz w:val="24"/>
          <w:szCs w:val="24"/>
        </w:rPr>
        <w:t>Wunsch</w:t>
      </w:r>
      <w:proofErr w:type="spellEnd"/>
      <w:r w:rsidRPr="00B34E09">
        <w:rPr>
          <w:rFonts w:asciiTheme="minorHAnsi" w:eastAsia="Times New Roman" w:hAnsiTheme="minorHAnsi"/>
          <w:sz w:val="24"/>
          <w:szCs w:val="24"/>
        </w:rPr>
        <w:t xml:space="preserve"> H: Long-Term Outcomes after Critical Illness. The Best Predictor of the Future Is the Past. </w:t>
      </w:r>
      <w:r w:rsidRPr="00B34E09">
        <w:rPr>
          <w:rFonts w:asciiTheme="minorHAnsi" w:eastAsia="Times New Roman" w:hAnsiTheme="minorHAnsi"/>
          <w:i/>
          <w:iCs/>
          <w:sz w:val="24"/>
          <w:szCs w:val="24"/>
        </w:rPr>
        <w:t xml:space="preserve">Am J </w:t>
      </w:r>
      <w:proofErr w:type="spellStart"/>
      <w:r w:rsidRPr="00B34E09">
        <w:rPr>
          <w:rFonts w:asciiTheme="minorHAnsi" w:eastAsia="Times New Roman" w:hAnsiTheme="minorHAnsi"/>
          <w:i/>
          <w:iCs/>
          <w:sz w:val="24"/>
          <w:szCs w:val="24"/>
        </w:rPr>
        <w:t>Respir</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 Med</w:t>
      </w:r>
      <w:r w:rsidRPr="00B34E09">
        <w:rPr>
          <w:rFonts w:asciiTheme="minorHAnsi" w:eastAsia="Times New Roman" w:hAnsiTheme="minorHAnsi"/>
          <w:sz w:val="24"/>
          <w:szCs w:val="24"/>
        </w:rPr>
        <w:t xml:space="preserve"> 2016; 194:132–134</w:t>
      </w:r>
    </w:p>
    <w:p w14:paraId="26F8473D"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14. </w:t>
      </w:r>
      <w:r w:rsidRPr="00B34E09">
        <w:rPr>
          <w:rFonts w:asciiTheme="minorHAnsi" w:eastAsia="Times New Roman" w:hAnsiTheme="minorHAnsi"/>
          <w:sz w:val="24"/>
          <w:szCs w:val="24"/>
        </w:rPr>
        <w:tab/>
        <w:t xml:space="preserve">Needham DM, Sepulveda KA, </w:t>
      </w:r>
      <w:proofErr w:type="spellStart"/>
      <w:r w:rsidRPr="00B34E09">
        <w:rPr>
          <w:rFonts w:asciiTheme="minorHAnsi" w:eastAsia="Times New Roman" w:hAnsiTheme="minorHAnsi"/>
          <w:sz w:val="24"/>
          <w:szCs w:val="24"/>
        </w:rPr>
        <w:t>Dinglas</w:t>
      </w:r>
      <w:proofErr w:type="spellEnd"/>
      <w:r w:rsidRPr="00B34E09">
        <w:rPr>
          <w:rFonts w:asciiTheme="minorHAnsi" w:eastAsia="Times New Roman" w:hAnsiTheme="minorHAnsi"/>
          <w:sz w:val="24"/>
          <w:szCs w:val="24"/>
        </w:rPr>
        <w:t xml:space="preserve"> VD, et al.: Core Outcome Measures for Clinical Research in Acute Respiratory Failure Survivors: An International Modified Delphi Consensus Study [Internet]. </w:t>
      </w:r>
      <w:r w:rsidRPr="00B34E09">
        <w:rPr>
          <w:rFonts w:asciiTheme="minorHAnsi" w:eastAsia="Times New Roman" w:hAnsiTheme="minorHAnsi"/>
          <w:i/>
          <w:iCs/>
          <w:sz w:val="24"/>
          <w:szCs w:val="24"/>
        </w:rPr>
        <w:t xml:space="preserve">Am J </w:t>
      </w:r>
      <w:proofErr w:type="spellStart"/>
      <w:r w:rsidRPr="00B34E09">
        <w:rPr>
          <w:rFonts w:asciiTheme="minorHAnsi" w:eastAsia="Times New Roman" w:hAnsiTheme="minorHAnsi"/>
          <w:i/>
          <w:iCs/>
          <w:sz w:val="24"/>
          <w:szCs w:val="24"/>
        </w:rPr>
        <w:t>Respir</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 Med</w:t>
      </w:r>
      <w:r w:rsidRPr="00B34E09">
        <w:rPr>
          <w:rFonts w:asciiTheme="minorHAnsi" w:eastAsia="Times New Roman" w:hAnsiTheme="minorHAnsi"/>
          <w:sz w:val="24"/>
          <w:szCs w:val="24"/>
        </w:rPr>
        <w:t xml:space="preserve"> 2017; [cited 2017 Jun 30] Available from: http://www.atsjournals.org/doi/abs/10.1164/rccm.201702-0372OC</w:t>
      </w:r>
    </w:p>
    <w:p w14:paraId="1DD1B6DE"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lastRenderedPageBreak/>
        <w:t xml:space="preserve">15. </w:t>
      </w:r>
      <w:r w:rsidRPr="00B34E09">
        <w:rPr>
          <w:rFonts w:asciiTheme="minorHAnsi" w:eastAsia="Times New Roman" w:hAnsiTheme="minorHAnsi"/>
          <w:sz w:val="24"/>
          <w:szCs w:val="24"/>
        </w:rPr>
        <w:tab/>
        <w:t xml:space="preserve">Ramsay P, </w:t>
      </w:r>
      <w:proofErr w:type="spellStart"/>
      <w:r w:rsidRPr="00B34E09">
        <w:rPr>
          <w:rFonts w:asciiTheme="minorHAnsi" w:eastAsia="Times New Roman" w:hAnsiTheme="minorHAnsi"/>
          <w:sz w:val="24"/>
          <w:szCs w:val="24"/>
        </w:rPr>
        <w:t>Huby</w:t>
      </w:r>
      <w:proofErr w:type="spellEnd"/>
      <w:r w:rsidRPr="00B34E09">
        <w:rPr>
          <w:rFonts w:asciiTheme="minorHAnsi" w:eastAsia="Times New Roman" w:hAnsiTheme="minorHAnsi"/>
          <w:sz w:val="24"/>
          <w:szCs w:val="24"/>
        </w:rPr>
        <w:t xml:space="preserve"> G, Merriweather J, et al.: Patient and carer experience of hospital-based rehabilitation from intensive care to hospital discharge: mixed methods process evaluation of the RECOVER randomised clinical trial. </w:t>
      </w:r>
      <w:r w:rsidRPr="00B34E09">
        <w:rPr>
          <w:rFonts w:asciiTheme="minorHAnsi" w:eastAsia="Times New Roman" w:hAnsiTheme="minorHAnsi"/>
          <w:i/>
          <w:iCs/>
          <w:sz w:val="24"/>
          <w:szCs w:val="24"/>
        </w:rPr>
        <w:t>BMJ Open</w:t>
      </w:r>
      <w:r w:rsidRPr="00B34E09">
        <w:rPr>
          <w:rFonts w:asciiTheme="minorHAnsi" w:eastAsia="Times New Roman" w:hAnsiTheme="minorHAnsi"/>
          <w:sz w:val="24"/>
          <w:szCs w:val="24"/>
        </w:rPr>
        <w:t xml:space="preserve"> 2016; </w:t>
      </w:r>
      <w:proofErr w:type="gramStart"/>
      <w:r w:rsidRPr="00B34E09">
        <w:rPr>
          <w:rFonts w:asciiTheme="minorHAnsi" w:eastAsia="Times New Roman" w:hAnsiTheme="minorHAnsi"/>
          <w:sz w:val="24"/>
          <w:szCs w:val="24"/>
        </w:rPr>
        <w:t>6:e</w:t>
      </w:r>
      <w:proofErr w:type="gramEnd"/>
      <w:r w:rsidRPr="00B34E09">
        <w:rPr>
          <w:rFonts w:asciiTheme="minorHAnsi" w:eastAsia="Times New Roman" w:hAnsiTheme="minorHAnsi"/>
          <w:sz w:val="24"/>
          <w:szCs w:val="24"/>
        </w:rPr>
        <w:t>012041</w:t>
      </w:r>
    </w:p>
    <w:p w14:paraId="116135F9" w14:textId="7A7AEE8E"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16. </w:t>
      </w:r>
      <w:r w:rsidRPr="00B34E09">
        <w:rPr>
          <w:rFonts w:asciiTheme="minorHAnsi" w:eastAsia="Times New Roman" w:hAnsiTheme="minorHAnsi"/>
          <w:sz w:val="24"/>
          <w:szCs w:val="24"/>
        </w:rPr>
        <w:tab/>
        <w:t xml:space="preserve">Walsh TS, Salisbury LG, Boyd J, et al.: A randomised controlled trial evaluating a rehabilitation complex intervention for patients following intensive care discharge: the RECOVER study [Internet]. </w:t>
      </w:r>
      <w:r w:rsidRPr="00B34E09">
        <w:rPr>
          <w:rFonts w:asciiTheme="minorHAnsi" w:eastAsia="Times New Roman" w:hAnsiTheme="minorHAnsi"/>
          <w:i/>
          <w:iCs/>
          <w:sz w:val="24"/>
          <w:szCs w:val="24"/>
        </w:rPr>
        <w:t>BMJ Open</w:t>
      </w:r>
      <w:r w:rsidRPr="00B34E09">
        <w:rPr>
          <w:rFonts w:asciiTheme="minorHAnsi" w:eastAsia="Times New Roman" w:hAnsiTheme="minorHAnsi"/>
          <w:sz w:val="24"/>
          <w:szCs w:val="24"/>
        </w:rPr>
        <w:t xml:space="preserve"> 2012;</w:t>
      </w:r>
      <w:r w:rsidR="00BA3EC9" w:rsidRPr="00B34E09">
        <w:rPr>
          <w:rFonts w:asciiTheme="minorHAnsi" w:eastAsia="Times New Roman" w:hAnsiTheme="minorHAnsi"/>
          <w:sz w:val="24"/>
          <w:szCs w:val="24"/>
        </w:rPr>
        <w:t xml:space="preserve"> </w:t>
      </w:r>
      <w:proofErr w:type="gramStart"/>
      <w:r w:rsidR="00BA3EC9" w:rsidRPr="00B34E09">
        <w:rPr>
          <w:rFonts w:asciiTheme="minorHAnsi" w:eastAsia="Times New Roman" w:hAnsiTheme="minorHAnsi"/>
          <w:sz w:val="24"/>
          <w:szCs w:val="24"/>
        </w:rPr>
        <w:t>2:</w:t>
      </w:r>
      <w:r w:rsidRPr="00B34E09">
        <w:rPr>
          <w:rFonts w:asciiTheme="minorHAnsi" w:eastAsia="Times New Roman" w:hAnsiTheme="minorHAnsi"/>
          <w:sz w:val="24"/>
          <w:szCs w:val="24"/>
        </w:rPr>
        <w:t>e</w:t>
      </w:r>
      <w:proofErr w:type="gramEnd"/>
      <w:r w:rsidRPr="00B34E09">
        <w:rPr>
          <w:rFonts w:asciiTheme="minorHAnsi" w:eastAsia="Times New Roman" w:hAnsiTheme="minorHAnsi"/>
          <w:sz w:val="24"/>
          <w:szCs w:val="24"/>
        </w:rPr>
        <w:t>001475</w:t>
      </w:r>
      <w:r w:rsidR="00BA3EC9" w:rsidRPr="00B34E09">
        <w:rPr>
          <w:rFonts w:asciiTheme="minorHAnsi" w:eastAsia="Times New Roman" w:hAnsiTheme="minorHAnsi"/>
          <w:sz w:val="24"/>
          <w:szCs w:val="24"/>
        </w:rPr>
        <w:t xml:space="preserve"> doi:</w:t>
      </w:r>
      <w:r w:rsidR="00BA3EC9" w:rsidRPr="00B34E09">
        <w:rPr>
          <w:sz w:val="24"/>
          <w:szCs w:val="24"/>
        </w:rPr>
        <w:t>10.1136/bmjopen-2012-001475</w:t>
      </w:r>
    </w:p>
    <w:p w14:paraId="59604455"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17.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Gandek</w:t>
      </w:r>
      <w:proofErr w:type="spellEnd"/>
      <w:r w:rsidRPr="00B34E09">
        <w:rPr>
          <w:rFonts w:asciiTheme="minorHAnsi" w:eastAsia="Times New Roman" w:hAnsiTheme="minorHAnsi"/>
          <w:sz w:val="24"/>
          <w:szCs w:val="24"/>
        </w:rPr>
        <w:t xml:space="preserve"> B, Ware JE, Aaronson NK, et al.: Cross-Validation of Item Selection and Scoring for the SF-12 Health Survey in Nine Countries: Results from the IQOLA Project. </w:t>
      </w:r>
      <w:r w:rsidRPr="00B34E09">
        <w:rPr>
          <w:rFonts w:asciiTheme="minorHAnsi" w:eastAsia="Times New Roman" w:hAnsiTheme="minorHAnsi"/>
          <w:i/>
          <w:iCs/>
          <w:sz w:val="24"/>
          <w:szCs w:val="24"/>
        </w:rPr>
        <w:t xml:space="preserve">J </w:t>
      </w:r>
      <w:proofErr w:type="spellStart"/>
      <w:r w:rsidRPr="00B34E09">
        <w:rPr>
          <w:rFonts w:asciiTheme="minorHAnsi" w:eastAsia="Times New Roman" w:hAnsiTheme="minorHAnsi"/>
          <w:i/>
          <w:iCs/>
          <w:sz w:val="24"/>
          <w:szCs w:val="24"/>
        </w:rPr>
        <w:t>Clin</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Epidemiol</w:t>
      </w:r>
      <w:proofErr w:type="spellEnd"/>
      <w:r w:rsidRPr="00B34E09">
        <w:rPr>
          <w:rFonts w:asciiTheme="minorHAnsi" w:eastAsia="Times New Roman" w:hAnsiTheme="minorHAnsi"/>
          <w:sz w:val="24"/>
          <w:szCs w:val="24"/>
        </w:rPr>
        <w:t xml:space="preserve"> 1998; 51:1171–1178</w:t>
      </w:r>
    </w:p>
    <w:p w14:paraId="5D2A5787" w14:textId="66F0C642"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18.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Peduzzi</w:t>
      </w:r>
      <w:proofErr w:type="spellEnd"/>
      <w:r w:rsidRPr="00B34E09">
        <w:rPr>
          <w:rFonts w:asciiTheme="minorHAnsi" w:eastAsia="Times New Roman" w:hAnsiTheme="minorHAnsi"/>
          <w:sz w:val="24"/>
          <w:szCs w:val="24"/>
        </w:rPr>
        <w:t xml:space="preserve"> P, </w:t>
      </w:r>
      <w:proofErr w:type="spellStart"/>
      <w:r w:rsidRPr="00B34E09">
        <w:rPr>
          <w:rFonts w:asciiTheme="minorHAnsi" w:eastAsia="Times New Roman" w:hAnsiTheme="minorHAnsi"/>
          <w:sz w:val="24"/>
          <w:szCs w:val="24"/>
        </w:rPr>
        <w:t>Concato</w:t>
      </w:r>
      <w:proofErr w:type="spellEnd"/>
      <w:r w:rsidRPr="00B34E09">
        <w:rPr>
          <w:rFonts w:asciiTheme="minorHAnsi" w:eastAsia="Times New Roman" w:hAnsiTheme="minorHAnsi"/>
          <w:sz w:val="24"/>
          <w:szCs w:val="24"/>
        </w:rPr>
        <w:t xml:space="preserve"> J, Kemper E, et al.: A simulation study of the number of events per variable in logistic regression analysis. </w:t>
      </w:r>
      <w:r w:rsidRPr="00B34E09">
        <w:rPr>
          <w:rFonts w:asciiTheme="minorHAnsi" w:eastAsia="Times New Roman" w:hAnsiTheme="minorHAnsi"/>
          <w:i/>
          <w:iCs/>
          <w:sz w:val="24"/>
          <w:szCs w:val="24"/>
        </w:rPr>
        <w:t xml:space="preserve">J </w:t>
      </w:r>
      <w:proofErr w:type="spellStart"/>
      <w:r w:rsidRPr="00B34E09">
        <w:rPr>
          <w:rFonts w:asciiTheme="minorHAnsi" w:eastAsia="Times New Roman" w:hAnsiTheme="minorHAnsi"/>
          <w:i/>
          <w:iCs/>
          <w:sz w:val="24"/>
          <w:szCs w:val="24"/>
        </w:rPr>
        <w:t>Clin</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Epidemiol</w:t>
      </w:r>
      <w:proofErr w:type="spellEnd"/>
      <w:r w:rsidRPr="00B34E09">
        <w:rPr>
          <w:rFonts w:asciiTheme="minorHAnsi" w:eastAsia="Times New Roman" w:hAnsiTheme="minorHAnsi"/>
          <w:sz w:val="24"/>
          <w:szCs w:val="24"/>
        </w:rPr>
        <w:t xml:space="preserve"> 1996; 49:1373–</w:t>
      </w:r>
      <w:r w:rsidR="00BA3EC9" w:rsidRPr="00B34E09">
        <w:rPr>
          <w:rFonts w:asciiTheme="minorHAnsi" w:eastAsia="Times New Roman" w:hAnsiTheme="minorHAnsi"/>
          <w:sz w:val="24"/>
          <w:szCs w:val="24"/>
        </w:rPr>
        <w:t>137</w:t>
      </w:r>
      <w:r w:rsidRPr="00B34E09">
        <w:rPr>
          <w:rFonts w:asciiTheme="minorHAnsi" w:eastAsia="Times New Roman" w:hAnsiTheme="minorHAnsi"/>
          <w:sz w:val="24"/>
          <w:szCs w:val="24"/>
        </w:rPr>
        <w:t>9</w:t>
      </w:r>
    </w:p>
    <w:p w14:paraId="3C6CD067"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19. </w:t>
      </w:r>
      <w:r w:rsidRPr="00B34E09">
        <w:rPr>
          <w:rFonts w:asciiTheme="minorHAnsi" w:eastAsia="Times New Roman" w:hAnsiTheme="minorHAnsi"/>
          <w:sz w:val="24"/>
          <w:szCs w:val="24"/>
        </w:rPr>
        <w:tab/>
        <w:t>SIMD 2012 Results | SIMD [Internet]. [cited 2016 Dec 21] Available from: http://simd.scotland.gov.uk/publication-2012/simd-2012-results/</w:t>
      </w:r>
    </w:p>
    <w:p w14:paraId="3583CAA6"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20.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Groll</w:t>
      </w:r>
      <w:proofErr w:type="spellEnd"/>
      <w:r w:rsidRPr="00B34E09">
        <w:rPr>
          <w:rFonts w:asciiTheme="minorHAnsi" w:eastAsia="Times New Roman" w:hAnsiTheme="minorHAnsi"/>
          <w:sz w:val="24"/>
          <w:szCs w:val="24"/>
        </w:rPr>
        <w:t xml:space="preserve"> DL, To T, Bombardier C, et al.: The development of a comorbidity index with physical function as the outcome. </w:t>
      </w:r>
      <w:r w:rsidRPr="00B34E09">
        <w:rPr>
          <w:rFonts w:asciiTheme="minorHAnsi" w:eastAsia="Times New Roman" w:hAnsiTheme="minorHAnsi"/>
          <w:i/>
          <w:iCs/>
          <w:sz w:val="24"/>
          <w:szCs w:val="24"/>
        </w:rPr>
        <w:t xml:space="preserve">J </w:t>
      </w:r>
      <w:proofErr w:type="spellStart"/>
      <w:r w:rsidRPr="00B34E09">
        <w:rPr>
          <w:rFonts w:asciiTheme="minorHAnsi" w:eastAsia="Times New Roman" w:hAnsiTheme="minorHAnsi"/>
          <w:i/>
          <w:iCs/>
          <w:sz w:val="24"/>
          <w:szCs w:val="24"/>
        </w:rPr>
        <w:t>Clin</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Epidemiol</w:t>
      </w:r>
      <w:proofErr w:type="spellEnd"/>
      <w:r w:rsidRPr="00B34E09">
        <w:rPr>
          <w:rFonts w:asciiTheme="minorHAnsi" w:eastAsia="Times New Roman" w:hAnsiTheme="minorHAnsi"/>
          <w:sz w:val="24"/>
          <w:szCs w:val="24"/>
        </w:rPr>
        <w:t xml:space="preserve"> 2005; 58:595–602</w:t>
      </w:r>
    </w:p>
    <w:p w14:paraId="1C0203DF"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21. </w:t>
      </w:r>
      <w:r w:rsidRPr="00B34E09">
        <w:rPr>
          <w:rFonts w:asciiTheme="minorHAnsi" w:eastAsia="Times New Roman" w:hAnsiTheme="minorHAnsi"/>
          <w:sz w:val="24"/>
          <w:szCs w:val="24"/>
        </w:rPr>
        <w:tab/>
        <w:t xml:space="preserve">Fan E, Gifford JM, </w:t>
      </w:r>
      <w:proofErr w:type="spellStart"/>
      <w:r w:rsidRPr="00B34E09">
        <w:rPr>
          <w:rFonts w:asciiTheme="minorHAnsi" w:eastAsia="Times New Roman" w:hAnsiTheme="minorHAnsi"/>
          <w:sz w:val="24"/>
          <w:szCs w:val="24"/>
        </w:rPr>
        <w:t>Chandolu</w:t>
      </w:r>
      <w:proofErr w:type="spellEnd"/>
      <w:r w:rsidRPr="00B34E09">
        <w:rPr>
          <w:rFonts w:asciiTheme="minorHAnsi" w:eastAsia="Times New Roman" w:hAnsiTheme="minorHAnsi"/>
          <w:sz w:val="24"/>
          <w:szCs w:val="24"/>
        </w:rPr>
        <w:t xml:space="preserve"> S, et al.: The functional comorbidity index had high inter-rater reliability in patients with acute lung injury. </w:t>
      </w:r>
      <w:r w:rsidRPr="00B34E09">
        <w:rPr>
          <w:rFonts w:asciiTheme="minorHAnsi" w:eastAsia="Times New Roman" w:hAnsiTheme="minorHAnsi"/>
          <w:i/>
          <w:iCs/>
          <w:sz w:val="24"/>
          <w:szCs w:val="24"/>
        </w:rPr>
        <w:t xml:space="preserve">BMC </w:t>
      </w:r>
      <w:proofErr w:type="spellStart"/>
      <w:r w:rsidRPr="00B34E09">
        <w:rPr>
          <w:rFonts w:asciiTheme="minorHAnsi" w:eastAsia="Times New Roman" w:hAnsiTheme="minorHAnsi"/>
          <w:i/>
          <w:iCs/>
          <w:sz w:val="24"/>
          <w:szCs w:val="24"/>
        </w:rPr>
        <w:t>Anesthesiol</w:t>
      </w:r>
      <w:proofErr w:type="spellEnd"/>
      <w:r w:rsidRPr="00B34E09">
        <w:rPr>
          <w:rFonts w:asciiTheme="minorHAnsi" w:eastAsia="Times New Roman" w:hAnsiTheme="minorHAnsi"/>
          <w:sz w:val="24"/>
          <w:szCs w:val="24"/>
        </w:rPr>
        <w:t xml:space="preserve"> 2012; 12:21</w:t>
      </w:r>
    </w:p>
    <w:p w14:paraId="145B3305" w14:textId="2DFB2ECA"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22.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Knaus</w:t>
      </w:r>
      <w:proofErr w:type="spellEnd"/>
      <w:r w:rsidRPr="00B34E09">
        <w:rPr>
          <w:rFonts w:asciiTheme="minorHAnsi" w:eastAsia="Times New Roman" w:hAnsiTheme="minorHAnsi"/>
          <w:sz w:val="24"/>
          <w:szCs w:val="24"/>
        </w:rPr>
        <w:t xml:space="preserve"> WA, Draper EA, Wagner DP, et al.: APACHE II: a severity of disease classification system.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 Med</w:t>
      </w:r>
      <w:r w:rsidRPr="00B34E09">
        <w:rPr>
          <w:rFonts w:asciiTheme="minorHAnsi" w:eastAsia="Times New Roman" w:hAnsiTheme="minorHAnsi"/>
          <w:sz w:val="24"/>
          <w:szCs w:val="24"/>
        </w:rPr>
        <w:t xml:space="preserve"> 1985; 13:818–</w:t>
      </w:r>
      <w:r w:rsidR="00BA3EC9" w:rsidRPr="00B34E09">
        <w:rPr>
          <w:rFonts w:asciiTheme="minorHAnsi" w:eastAsia="Times New Roman" w:hAnsiTheme="minorHAnsi"/>
          <w:sz w:val="24"/>
          <w:szCs w:val="24"/>
        </w:rPr>
        <w:t>8</w:t>
      </w:r>
      <w:r w:rsidRPr="00B34E09">
        <w:rPr>
          <w:rFonts w:asciiTheme="minorHAnsi" w:eastAsia="Times New Roman" w:hAnsiTheme="minorHAnsi"/>
          <w:sz w:val="24"/>
          <w:szCs w:val="24"/>
        </w:rPr>
        <w:t>29</w:t>
      </w:r>
    </w:p>
    <w:p w14:paraId="09C0F25A" w14:textId="183ECCC2"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lastRenderedPageBreak/>
        <w:t xml:space="preserve">23. </w:t>
      </w:r>
      <w:r w:rsidRPr="00B34E09">
        <w:rPr>
          <w:rFonts w:asciiTheme="minorHAnsi" w:eastAsia="Times New Roman" w:hAnsiTheme="minorHAnsi"/>
          <w:sz w:val="24"/>
          <w:szCs w:val="24"/>
        </w:rPr>
        <w:tab/>
        <w:t xml:space="preserve">Collen FM, Wade DT, Robb GF, et al.: The Rivermead Mobility Index: a further development of the Rivermead Motor Assessment. </w:t>
      </w:r>
      <w:proofErr w:type="spellStart"/>
      <w:r w:rsidRPr="00B34E09">
        <w:rPr>
          <w:rFonts w:asciiTheme="minorHAnsi" w:eastAsia="Times New Roman" w:hAnsiTheme="minorHAnsi"/>
          <w:i/>
          <w:iCs/>
          <w:sz w:val="24"/>
          <w:szCs w:val="24"/>
        </w:rPr>
        <w:t>Int</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Disabil</w:t>
      </w:r>
      <w:proofErr w:type="spellEnd"/>
      <w:r w:rsidRPr="00B34E09">
        <w:rPr>
          <w:rFonts w:asciiTheme="minorHAnsi" w:eastAsia="Times New Roman" w:hAnsiTheme="minorHAnsi"/>
          <w:i/>
          <w:iCs/>
          <w:sz w:val="24"/>
          <w:szCs w:val="24"/>
        </w:rPr>
        <w:t xml:space="preserve"> Stud</w:t>
      </w:r>
      <w:r w:rsidRPr="00B34E09">
        <w:rPr>
          <w:rFonts w:asciiTheme="minorHAnsi" w:eastAsia="Times New Roman" w:hAnsiTheme="minorHAnsi"/>
          <w:sz w:val="24"/>
          <w:szCs w:val="24"/>
        </w:rPr>
        <w:t xml:space="preserve"> 1991; 13:50–</w:t>
      </w:r>
      <w:r w:rsidR="00BA3EC9" w:rsidRPr="00B34E09">
        <w:rPr>
          <w:rFonts w:asciiTheme="minorHAnsi" w:eastAsia="Times New Roman" w:hAnsiTheme="minorHAnsi"/>
          <w:sz w:val="24"/>
          <w:szCs w:val="24"/>
        </w:rPr>
        <w:t>5</w:t>
      </w:r>
      <w:r w:rsidRPr="00B34E09">
        <w:rPr>
          <w:rFonts w:asciiTheme="minorHAnsi" w:eastAsia="Times New Roman" w:hAnsiTheme="minorHAnsi"/>
          <w:sz w:val="24"/>
          <w:szCs w:val="24"/>
        </w:rPr>
        <w:t>4</w:t>
      </w:r>
    </w:p>
    <w:p w14:paraId="4A1E2EA0"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24.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Detsky</w:t>
      </w:r>
      <w:proofErr w:type="spellEnd"/>
      <w:r w:rsidRPr="00B34E09">
        <w:rPr>
          <w:rFonts w:asciiTheme="minorHAnsi" w:eastAsia="Times New Roman" w:hAnsiTheme="minorHAnsi"/>
          <w:sz w:val="24"/>
          <w:szCs w:val="24"/>
        </w:rPr>
        <w:t xml:space="preserve"> AS, McLaughlin JR, Baker JP, et al.: What is subjective global assessment of nutritional status? </w:t>
      </w:r>
      <w:r w:rsidRPr="00B34E09">
        <w:rPr>
          <w:rFonts w:asciiTheme="minorHAnsi" w:eastAsia="Times New Roman" w:hAnsiTheme="minorHAnsi"/>
          <w:i/>
          <w:iCs/>
          <w:sz w:val="24"/>
          <w:szCs w:val="24"/>
        </w:rPr>
        <w:t xml:space="preserve">JPEN J </w:t>
      </w:r>
      <w:proofErr w:type="spellStart"/>
      <w:r w:rsidRPr="00B34E09">
        <w:rPr>
          <w:rFonts w:asciiTheme="minorHAnsi" w:eastAsia="Times New Roman" w:hAnsiTheme="minorHAnsi"/>
          <w:i/>
          <w:iCs/>
          <w:sz w:val="24"/>
          <w:szCs w:val="24"/>
        </w:rPr>
        <w:t>Parenter</w:t>
      </w:r>
      <w:proofErr w:type="spellEnd"/>
      <w:r w:rsidRPr="00B34E09">
        <w:rPr>
          <w:rFonts w:asciiTheme="minorHAnsi" w:eastAsia="Times New Roman" w:hAnsiTheme="minorHAnsi"/>
          <w:i/>
          <w:iCs/>
          <w:sz w:val="24"/>
          <w:szCs w:val="24"/>
        </w:rPr>
        <w:t xml:space="preserve"> Enteral </w:t>
      </w:r>
      <w:proofErr w:type="spellStart"/>
      <w:r w:rsidRPr="00B34E09">
        <w:rPr>
          <w:rFonts w:asciiTheme="minorHAnsi" w:eastAsia="Times New Roman" w:hAnsiTheme="minorHAnsi"/>
          <w:i/>
          <w:iCs/>
          <w:sz w:val="24"/>
          <w:szCs w:val="24"/>
        </w:rPr>
        <w:t>Nutr</w:t>
      </w:r>
      <w:proofErr w:type="spellEnd"/>
      <w:r w:rsidRPr="00B34E09">
        <w:rPr>
          <w:rFonts w:asciiTheme="minorHAnsi" w:eastAsia="Times New Roman" w:hAnsiTheme="minorHAnsi"/>
          <w:sz w:val="24"/>
          <w:szCs w:val="24"/>
        </w:rPr>
        <w:t xml:space="preserve"> 1987; 11:8–13</w:t>
      </w:r>
    </w:p>
    <w:p w14:paraId="02EF985B"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25.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Samsa</w:t>
      </w:r>
      <w:proofErr w:type="spellEnd"/>
      <w:r w:rsidRPr="00B34E09">
        <w:rPr>
          <w:rFonts w:asciiTheme="minorHAnsi" w:eastAsia="Times New Roman" w:hAnsiTheme="minorHAnsi"/>
          <w:sz w:val="24"/>
          <w:szCs w:val="24"/>
        </w:rPr>
        <w:t xml:space="preserve"> G, Edelman D, Rothman ML, et al.: Determining clinically important differences in health status measures: a general approach with illustration to the Health Utilities Index Mark II. </w:t>
      </w:r>
      <w:proofErr w:type="spellStart"/>
      <w:r w:rsidRPr="00B34E09">
        <w:rPr>
          <w:rFonts w:asciiTheme="minorHAnsi" w:eastAsia="Times New Roman" w:hAnsiTheme="minorHAnsi"/>
          <w:i/>
          <w:iCs/>
          <w:sz w:val="24"/>
          <w:szCs w:val="24"/>
        </w:rPr>
        <w:t>Pharmacoeconomics</w:t>
      </w:r>
      <w:proofErr w:type="spellEnd"/>
      <w:r w:rsidRPr="00B34E09">
        <w:rPr>
          <w:rFonts w:asciiTheme="minorHAnsi" w:eastAsia="Times New Roman" w:hAnsiTheme="minorHAnsi"/>
          <w:sz w:val="24"/>
          <w:szCs w:val="24"/>
        </w:rPr>
        <w:t xml:space="preserve"> 1999; 15:141–155</w:t>
      </w:r>
    </w:p>
    <w:p w14:paraId="3CB48193"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26.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Orwelius</w:t>
      </w:r>
      <w:proofErr w:type="spellEnd"/>
      <w:r w:rsidRPr="00B34E09">
        <w:rPr>
          <w:rFonts w:asciiTheme="minorHAnsi" w:eastAsia="Times New Roman" w:hAnsiTheme="minorHAnsi"/>
          <w:sz w:val="24"/>
          <w:szCs w:val="24"/>
        </w:rPr>
        <w:t xml:space="preserve"> L, </w:t>
      </w:r>
      <w:proofErr w:type="spellStart"/>
      <w:r w:rsidRPr="00B34E09">
        <w:rPr>
          <w:rFonts w:asciiTheme="minorHAnsi" w:eastAsia="Times New Roman" w:hAnsiTheme="minorHAnsi"/>
          <w:sz w:val="24"/>
          <w:szCs w:val="24"/>
        </w:rPr>
        <w:t>Bäckman</w:t>
      </w:r>
      <w:proofErr w:type="spellEnd"/>
      <w:r w:rsidRPr="00B34E09">
        <w:rPr>
          <w:rFonts w:asciiTheme="minorHAnsi" w:eastAsia="Times New Roman" w:hAnsiTheme="minorHAnsi"/>
          <w:sz w:val="24"/>
          <w:szCs w:val="24"/>
        </w:rPr>
        <w:t xml:space="preserve"> C, </w:t>
      </w:r>
      <w:proofErr w:type="spellStart"/>
      <w:r w:rsidRPr="00B34E09">
        <w:rPr>
          <w:rFonts w:asciiTheme="minorHAnsi" w:eastAsia="Times New Roman" w:hAnsiTheme="minorHAnsi"/>
          <w:sz w:val="24"/>
          <w:szCs w:val="24"/>
        </w:rPr>
        <w:t>Fredrikson</w:t>
      </w:r>
      <w:proofErr w:type="spellEnd"/>
      <w:r w:rsidRPr="00B34E09">
        <w:rPr>
          <w:rFonts w:asciiTheme="minorHAnsi" w:eastAsia="Times New Roman" w:hAnsiTheme="minorHAnsi"/>
          <w:sz w:val="24"/>
          <w:szCs w:val="24"/>
        </w:rPr>
        <w:t xml:space="preserve"> M, et al.: Social integration: an important factor for health-related quality of life after critical illness. </w:t>
      </w:r>
      <w:r w:rsidRPr="00B34E09">
        <w:rPr>
          <w:rFonts w:asciiTheme="minorHAnsi" w:eastAsia="Times New Roman" w:hAnsiTheme="minorHAnsi"/>
          <w:i/>
          <w:iCs/>
          <w:sz w:val="24"/>
          <w:szCs w:val="24"/>
        </w:rPr>
        <w:t>Intensive Care Med</w:t>
      </w:r>
      <w:r w:rsidRPr="00B34E09">
        <w:rPr>
          <w:rFonts w:asciiTheme="minorHAnsi" w:eastAsia="Times New Roman" w:hAnsiTheme="minorHAnsi"/>
          <w:sz w:val="24"/>
          <w:szCs w:val="24"/>
        </w:rPr>
        <w:t xml:space="preserve"> 2011; 37:831–838</w:t>
      </w:r>
    </w:p>
    <w:p w14:paraId="73DBA5D0"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27. </w:t>
      </w:r>
      <w:r w:rsidRPr="00B34E09">
        <w:rPr>
          <w:rFonts w:asciiTheme="minorHAnsi" w:eastAsia="Times New Roman" w:hAnsiTheme="minorHAnsi"/>
          <w:sz w:val="24"/>
          <w:szCs w:val="24"/>
        </w:rPr>
        <w:tab/>
      </w:r>
      <w:proofErr w:type="spellStart"/>
      <w:r w:rsidRPr="00B34E09">
        <w:rPr>
          <w:rFonts w:asciiTheme="minorHAnsi" w:eastAsia="Times New Roman" w:hAnsiTheme="minorHAnsi"/>
          <w:sz w:val="24"/>
          <w:szCs w:val="24"/>
        </w:rPr>
        <w:t>Orwelius</w:t>
      </w:r>
      <w:proofErr w:type="spellEnd"/>
      <w:r w:rsidRPr="00B34E09">
        <w:rPr>
          <w:rFonts w:asciiTheme="minorHAnsi" w:eastAsia="Times New Roman" w:hAnsiTheme="minorHAnsi"/>
          <w:sz w:val="24"/>
          <w:szCs w:val="24"/>
        </w:rPr>
        <w:t xml:space="preserve"> L, </w:t>
      </w:r>
      <w:proofErr w:type="spellStart"/>
      <w:r w:rsidRPr="00B34E09">
        <w:rPr>
          <w:rFonts w:asciiTheme="minorHAnsi" w:eastAsia="Times New Roman" w:hAnsiTheme="minorHAnsi"/>
          <w:sz w:val="24"/>
          <w:szCs w:val="24"/>
        </w:rPr>
        <w:t>Nordlund</w:t>
      </w:r>
      <w:proofErr w:type="spellEnd"/>
      <w:r w:rsidRPr="00B34E09">
        <w:rPr>
          <w:rFonts w:asciiTheme="minorHAnsi" w:eastAsia="Times New Roman" w:hAnsiTheme="minorHAnsi"/>
          <w:sz w:val="24"/>
          <w:szCs w:val="24"/>
        </w:rPr>
        <w:t xml:space="preserve"> A, </w:t>
      </w:r>
      <w:proofErr w:type="spellStart"/>
      <w:r w:rsidRPr="00B34E09">
        <w:rPr>
          <w:rFonts w:asciiTheme="minorHAnsi" w:eastAsia="Times New Roman" w:hAnsiTheme="minorHAnsi"/>
          <w:sz w:val="24"/>
          <w:szCs w:val="24"/>
        </w:rPr>
        <w:t>Nordlund</w:t>
      </w:r>
      <w:proofErr w:type="spellEnd"/>
      <w:r w:rsidRPr="00B34E09">
        <w:rPr>
          <w:rFonts w:asciiTheme="minorHAnsi" w:eastAsia="Times New Roman" w:hAnsiTheme="minorHAnsi"/>
          <w:sz w:val="24"/>
          <w:szCs w:val="24"/>
        </w:rPr>
        <w:t xml:space="preserve"> P, et al.: Pre-existing disease: the most important factor for health related quality of life long-term after critical illness: a prospective, longitudinal, multicentre trial.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 </w:t>
      </w:r>
      <w:proofErr w:type="spellStart"/>
      <w:r w:rsidRPr="00B34E09">
        <w:rPr>
          <w:rFonts w:asciiTheme="minorHAnsi" w:eastAsia="Times New Roman" w:hAnsiTheme="minorHAnsi"/>
          <w:i/>
          <w:iCs/>
          <w:sz w:val="24"/>
          <w:szCs w:val="24"/>
        </w:rPr>
        <w:t>Lond</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Engl</w:t>
      </w:r>
      <w:proofErr w:type="spellEnd"/>
      <w:r w:rsidRPr="00B34E09">
        <w:rPr>
          <w:rFonts w:asciiTheme="minorHAnsi" w:eastAsia="Times New Roman" w:hAnsiTheme="minorHAnsi"/>
          <w:sz w:val="24"/>
          <w:szCs w:val="24"/>
        </w:rPr>
        <w:t xml:space="preserve"> 2010; </w:t>
      </w:r>
      <w:proofErr w:type="gramStart"/>
      <w:r w:rsidRPr="00B34E09">
        <w:rPr>
          <w:rFonts w:asciiTheme="minorHAnsi" w:eastAsia="Times New Roman" w:hAnsiTheme="minorHAnsi"/>
          <w:sz w:val="24"/>
          <w:szCs w:val="24"/>
        </w:rPr>
        <w:t>14:R</w:t>
      </w:r>
      <w:proofErr w:type="gramEnd"/>
      <w:r w:rsidRPr="00B34E09">
        <w:rPr>
          <w:rFonts w:asciiTheme="minorHAnsi" w:eastAsia="Times New Roman" w:hAnsiTheme="minorHAnsi"/>
          <w:sz w:val="24"/>
          <w:szCs w:val="24"/>
        </w:rPr>
        <w:t>67</w:t>
      </w:r>
    </w:p>
    <w:p w14:paraId="4C75235C"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28. </w:t>
      </w:r>
      <w:r w:rsidRPr="00B34E09">
        <w:rPr>
          <w:rFonts w:asciiTheme="minorHAnsi" w:eastAsia="Times New Roman" w:hAnsiTheme="minorHAnsi"/>
          <w:sz w:val="24"/>
          <w:szCs w:val="24"/>
        </w:rPr>
        <w:tab/>
        <w:t xml:space="preserve">Ferrante LE, </w:t>
      </w:r>
      <w:proofErr w:type="spellStart"/>
      <w:r w:rsidRPr="00B34E09">
        <w:rPr>
          <w:rFonts w:asciiTheme="minorHAnsi" w:eastAsia="Times New Roman" w:hAnsiTheme="minorHAnsi"/>
          <w:sz w:val="24"/>
          <w:szCs w:val="24"/>
        </w:rPr>
        <w:t>Pisani</w:t>
      </w:r>
      <w:proofErr w:type="spellEnd"/>
      <w:r w:rsidRPr="00B34E09">
        <w:rPr>
          <w:rFonts w:asciiTheme="minorHAnsi" w:eastAsia="Times New Roman" w:hAnsiTheme="minorHAnsi"/>
          <w:sz w:val="24"/>
          <w:szCs w:val="24"/>
        </w:rPr>
        <w:t xml:space="preserve"> MA, Murphy TE, et al.: Factors Associated with Functional Recovery among Older Intensive Care Unit Survivors. </w:t>
      </w:r>
      <w:r w:rsidRPr="00B34E09">
        <w:rPr>
          <w:rFonts w:asciiTheme="minorHAnsi" w:eastAsia="Times New Roman" w:hAnsiTheme="minorHAnsi"/>
          <w:i/>
          <w:iCs/>
          <w:sz w:val="24"/>
          <w:szCs w:val="24"/>
        </w:rPr>
        <w:t xml:space="preserve">Am J </w:t>
      </w:r>
      <w:proofErr w:type="spellStart"/>
      <w:r w:rsidRPr="00B34E09">
        <w:rPr>
          <w:rFonts w:asciiTheme="minorHAnsi" w:eastAsia="Times New Roman" w:hAnsiTheme="minorHAnsi"/>
          <w:i/>
          <w:iCs/>
          <w:sz w:val="24"/>
          <w:szCs w:val="24"/>
        </w:rPr>
        <w:t>Respir</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 Med</w:t>
      </w:r>
      <w:r w:rsidRPr="00B34E09">
        <w:rPr>
          <w:rFonts w:asciiTheme="minorHAnsi" w:eastAsia="Times New Roman" w:hAnsiTheme="minorHAnsi"/>
          <w:sz w:val="24"/>
          <w:szCs w:val="24"/>
        </w:rPr>
        <w:t xml:space="preserve"> 2016; 194:299–307</w:t>
      </w:r>
    </w:p>
    <w:p w14:paraId="44DA5192"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29. </w:t>
      </w:r>
      <w:r w:rsidRPr="00B34E09">
        <w:rPr>
          <w:rFonts w:asciiTheme="minorHAnsi" w:eastAsia="Times New Roman" w:hAnsiTheme="minorHAnsi"/>
          <w:sz w:val="24"/>
          <w:szCs w:val="24"/>
        </w:rPr>
        <w:tab/>
        <w:t xml:space="preserve">Prescott HC, </w:t>
      </w:r>
      <w:proofErr w:type="spellStart"/>
      <w:r w:rsidRPr="00B34E09">
        <w:rPr>
          <w:rFonts w:asciiTheme="minorHAnsi" w:eastAsia="Times New Roman" w:hAnsiTheme="minorHAnsi"/>
          <w:sz w:val="24"/>
          <w:szCs w:val="24"/>
        </w:rPr>
        <w:t>Sjoding</w:t>
      </w:r>
      <w:proofErr w:type="spellEnd"/>
      <w:r w:rsidRPr="00B34E09">
        <w:rPr>
          <w:rFonts w:asciiTheme="minorHAnsi" w:eastAsia="Times New Roman" w:hAnsiTheme="minorHAnsi"/>
          <w:sz w:val="24"/>
          <w:szCs w:val="24"/>
        </w:rPr>
        <w:t xml:space="preserve"> MW, </w:t>
      </w:r>
      <w:proofErr w:type="spellStart"/>
      <w:r w:rsidRPr="00B34E09">
        <w:rPr>
          <w:rFonts w:asciiTheme="minorHAnsi" w:eastAsia="Times New Roman" w:hAnsiTheme="minorHAnsi"/>
          <w:sz w:val="24"/>
          <w:szCs w:val="24"/>
        </w:rPr>
        <w:t>Langa</w:t>
      </w:r>
      <w:proofErr w:type="spellEnd"/>
      <w:r w:rsidRPr="00B34E09">
        <w:rPr>
          <w:rFonts w:asciiTheme="minorHAnsi" w:eastAsia="Times New Roman" w:hAnsiTheme="minorHAnsi"/>
          <w:sz w:val="24"/>
          <w:szCs w:val="24"/>
        </w:rPr>
        <w:t xml:space="preserve"> KM, et al.: Late mortality after acute hypoxic respiratory failure. </w:t>
      </w:r>
      <w:r w:rsidRPr="00B34E09">
        <w:rPr>
          <w:rFonts w:asciiTheme="minorHAnsi" w:eastAsia="Times New Roman" w:hAnsiTheme="minorHAnsi"/>
          <w:i/>
          <w:iCs/>
          <w:sz w:val="24"/>
          <w:szCs w:val="24"/>
        </w:rPr>
        <w:t>Thorax</w:t>
      </w:r>
      <w:r w:rsidRPr="00B34E09">
        <w:rPr>
          <w:rFonts w:asciiTheme="minorHAnsi" w:eastAsia="Times New Roman" w:hAnsiTheme="minorHAnsi"/>
          <w:sz w:val="24"/>
          <w:szCs w:val="24"/>
        </w:rPr>
        <w:t xml:space="preserve"> 2017; thoraxjnl-2017-210109</w:t>
      </w:r>
    </w:p>
    <w:p w14:paraId="06781D04" w14:textId="77777777" w:rsidR="0094355C" w:rsidRPr="00B34E09" w:rsidRDefault="0094355C" w:rsidP="00B34E09">
      <w:pPr>
        <w:pStyle w:val="Bibliography"/>
        <w:spacing w:line="480" w:lineRule="auto"/>
        <w:rPr>
          <w:rFonts w:asciiTheme="minorHAnsi" w:eastAsia="Times New Roman" w:hAnsiTheme="minorHAnsi"/>
          <w:sz w:val="24"/>
          <w:szCs w:val="24"/>
        </w:rPr>
      </w:pPr>
      <w:r w:rsidRPr="00B34E09">
        <w:rPr>
          <w:rFonts w:asciiTheme="minorHAnsi" w:eastAsia="Times New Roman" w:hAnsiTheme="minorHAnsi"/>
          <w:sz w:val="24"/>
          <w:szCs w:val="24"/>
        </w:rPr>
        <w:t xml:space="preserve">30. </w:t>
      </w:r>
      <w:r w:rsidRPr="00B34E09">
        <w:rPr>
          <w:rFonts w:asciiTheme="minorHAnsi" w:eastAsia="Times New Roman" w:hAnsiTheme="minorHAnsi"/>
          <w:sz w:val="24"/>
          <w:szCs w:val="24"/>
        </w:rPr>
        <w:tab/>
        <w:t xml:space="preserve">Lone NI, Gillies MA, </w:t>
      </w:r>
      <w:proofErr w:type="spellStart"/>
      <w:r w:rsidRPr="00B34E09">
        <w:rPr>
          <w:rFonts w:asciiTheme="minorHAnsi" w:eastAsia="Times New Roman" w:hAnsiTheme="minorHAnsi"/>
          <w:sz w:val="24"/>
          <w:szCs w:val="24"/>
        </w:rPr>
        <w:t>Haddow</w:t>
      </w:r>
      <w:proofErr w:type="spellEnd"/>
      <w:r w:rsidRPr="00B34E09">
        <w:rPr>
          <w:rFonts w:asciiTheme="minorHAnsi" w:eastAsia="Times New Roman" w:hAnsiTheme="minorHAnsi"/>
          <w:sz w:val="24"/>
          <w:szCs w:val="24"/>
        </w:rPr>
        <w:t xml:space="preserve"> C, et al.: Five-Year Mortality and Hospital Costs Associated with Surviving Intensive Care. </w:t>
      </w:r>
      <w:r w:rsidRPr="00B34E09">
        <w:rPr>
          <w:rFonts w:asciiTheme="minorHAnsi" w:eastAsia="Times New Roman" w:hAnsiTheme="minorHAnsi"/>
          <w:i/>
          <w:iCs/>
          <w:sz w:val="24"/>
          <w:szCs w:val="24"/>
        </w:rPr>
        <w:t xml:space="preserve">Am J </w:t>
      </w:r>
      <w:proofErr w:type="spellStart"/>
      <w:r w:rsidRPr="00B34E09">
        <w:rPr>
          <w:rFonts w:asciiTheme="minorHAnsi" w:eastAsia="Times New Roman" w:hAnsiTheme="minorHAnsi"/>
          <w:i/>
          <w:iCs/>
          <w:sz w:val="24"/>
          <w:szCs w:val="24"/>
        </w:rPr>
        <w:t>Respir</w:t>
      </w:r>
      <w:proofErr w:type="spellEnd"/>
      <w:r w:rsidRPr="00B34E09">
        <w:rPr>
          <w:rFonts w:asciiTheme="minorHAnsi" w:eastAsia="Times New Roman" w:hAnsiTheme="minorHAnsi"/>
          <w:i/>
          <w:iCs/>
          <w:sz w:val="24"/>
          <w:szCs w:val="24"/>
        </w:rPr>
        <w:t xml:space="preserve"> </w:t>
      </w:r>
      <w:proofErr w:type="spellStart"/>
      <w:r w:rsidRPr="00B34E09">
        <w:rPr>
          <w:rFonts w:asciiTheme="minorHAnsi" w:eastAsia="Times New Roman" w:hAnsiTheme="minorHAnsi"/>
          <w:i/>
          <w:iCs/>
          <w:sz w:val="24"/>
          <w:szCs w:val="24"/>
        </w:rPr>
        <w:t>Crit</w:t>
      </w:r>
      <w:proofErr w:type="spellEnd"/>
      <w:r w:rsidRPr="00B34E09">
        <w:rPr>
          <w:rFonts w:asciiTheme="minorHAnsi" w:eastAsia="Times New Roman" w:hAnsiTheme="minorHAnsi"/>
          <w:i/>
          <w:iCs/>
          <w:sz w:val="24"/>
          <w:szCs w:val="24"/>
        </w:rPr>
        <w:t xml:space="preserve"> Care Med</w:t>
      </w:r>
      <w:r w:rsidRPr="00B34E09">
        <w:rPr>
          <w:rFonts w:asciiTheme="minorHAnsi" w:eastAsia="Times New Roman" w:hAnsiTheme="minorHAnsi"/>
          <w:sz w:val="24"/>
          <w:szCs w:val="24"/>
        </w:rPr>
        <w:t xml:space="preserve"> 2016; 194:198–208</w:t>
      </w:r>
    </w:p>
    <w:p w14:paraId="3314DB03" w14:textId="591EC4E8" w:rsidR="00D07D17" w:rsidRPr="002B6F86" w:rsidRDefault="00D07D17" w:rsidP="00B34E09">
      <w:pPr>
        <w:spacing w:line="480" w:lineRule="auto"/>
        <w:rPr>
          <w:sz w:val="24"/>
          <w:szCs w:val="24"/>
        </w:rPr>
      </w:pPr>
    </w:p>
    <w:p w14:paraId="1D1D8AAD" w14:textId="77777777" w:rsidR="00D07D17" w:rsidRPr="002B6F86" w:rsidRDefault="00D07D17" w:rsidP="00B34E09">
      <w:pPr>
        <w:spacing w:after="0" w:line="480" w:lineRule="auto"/>
        <w:rPr>
          <w:sz w:val="24"/>
          <w:szCs w:val="24"/>
        </w:rPr>
      </w:pPr>
      <w:r w:rsidRPr="002B6F86">
        <w:rPr>
          <w:sz w:val="24"/>
          <w:szCs w:val="24"/>
        </w:rPr>
        <w:lastRenderedPageBreak/>
        <w:br w:type="page"/>
      </w:r>
    </w:p>
    <w:p w14:paraId="222EF3B1" w14:textId="2C3E60CC" w:rsidR="00A234CC" w:rsidRPr="002B6F86" w:rsidRDefault="00391DBE" w:rsidP="00B34E09">
      <w:pPr>
        <w:spacing w:line="480" w:lineRule="auto"/>
        <w:rPr>
          <w:b/>
          <w:sz w:val="24"/>
          <w:szCs w:val="24"/>
        </w:rPr>
      </w:pPr>
      <w:r w:rsidRPr="002B6F86">
        <w:rPr>
          <w:b/>
          <w:sz w:val="24"/>
          <w:szCs w:val="24"/>
        </w:rPr>
        <w:lastRenderedPageBreak/>
        <w:t>FIGURE LEGENDS</w:t>
      </w:r>
    </w:p>
    <w:p w14:paraId="454A42DD" w14:textId="1CABBC32" w:rsidR="004E64D0" w:rsidRPr="002B6F86" w:rsidRDefault="004E64D0" w:rsidP="00B34E09">
      <w:pPr>
        <w:pStyle w:val="p1"/>
        <w:spacing w:line="480" w:lineRule="auto"/>
        <w:rPr>
          <w:rFonts w:ascii="Calibri" w:hAnsi="Calibri"/>
          <w:b/>
          <w:sz w:val="24"/>
          <w:szCs w:val="24"/>
        </w:rPr>
      </w:pPr>
      <w:r w:rsidRPr="002B6F86">
        <w:rPr>
          <w:rFonts w:ascii="Calibri" w:hAnsi="Calibri"/>
          <w:b/>
          <w:sz w:val="24"/>
          <w:szCs w:val="24"/>
        </w:rPr>
        <w:t>Figure 1</w:t>
      </w:r>
    </w:p>
    <w:p w14:paraId="035F86DC" w14:textId="77777777" w:rsidR="004E64D0" w:rsidRPr="002B6F86" w:rsidRDefault="004E64D0" w:rsidP="00B34E09">
      <w:pPr>
        <w:pStyle w:val="p1"/>
        <w:spacing w:line="480" w:lineRule="auto"/>
        <w:rPr>
          <w:rFonts w:ascii="Calibri" w:hAnsi="Calibri"/>
          <w:b/>
          <w:sz w:val="24"/>
          <w:szCs w:val="24"/>
        </w:rPr>
      </w:pPr>
    </w:p>
    <w:p w14:paraId="6C98366F" w14:textId="1CF33349" w:rsidR="004E64D0" w:rsidRPr="002B6F86" w:rsidRDefault="00C81A35" w:rsidP="00B34E09">
      <w:pPr>
        <w:pStyle w:val="p1"/>
        <w:spacing w:line="480" w:lineRule="auto"/>
        <w:ind w:firstLine="720"/>
        <w:jc w:val="both"/>
        <w:rPr>
          <w:rFonts w:ascii="Calibri" w:hAnsi="Calibri"/>
          <w:sz w:val="24"/>
          <w:szCs w:val="24"/>
        </w:rPr>
      </w:pPr>
      <w:r>
        <w:rPr>
          <w:rFonts w:ascii="Calibri" w:hAnsi="Calibri"/>
          <w:sz w:val="24"/>
          <w:szCs w:val="24"/>
        </w:rPr>
        <w:t>Health-related</w:t>
      </w:r>
      <w:r w:rsidR="004E64D0" w:rsidRPr="002B6F86">
        <w:rPr>
          <w:rFonts w:ascii="Calibri" w:hAnsi="Calibri"/>
          <w:sz w:val="24"/>
          <w:szCs w:val="24"/>
        </w:rPr>
        <w:t xml:space="preserve"> quality of life trajectory between 3 and 12 months after ICU discharge. Panels A and B show cohort level data with mean (95% CI) for Physical Component Score (PCS) of the Short Form 12 version 2 (SF12v2) (A)</w:t>
      </w:r>
      <w:r w:rsidR="004E64D0" w:rsidRPr="002B6F86">
        <w:rPr>
          <w:rStyle w:val="s1"/>
          <w:rFonts w:ascii="Calibri" w:hAnsi="Calibri"/>
          <w:sz w:val="24"/>
          <w:szCs w:val="24"/>
        </w:rPr>
        <w:t xml:space="preserve"> </w:t>
      </w:r>
      <w:r w:rsidR="004E64D0" w:rsidRPr="002B6F86">
        <w:rPr>
          <w:rFonts w:ascii="Calibri" w:hAnsi="Calibri"/>
          <w:sz w:val="24"/>
          <w:szCs w:val="24"/>
        </w:rPr>
        <w:t>and Mental Component Score (MCS) of SF12v2 (B</w:t>
      </w:r>
      <w:r w:rsidR="004E64D0" w:rsidRPr="002B6F86">
        <w:rPr>
          <w:rStyle w:val="s1"/>
          <w:rFonts w:ascii="Calibri" w:hAnsi="Calibri"/>
          <w:sz w:val="24"/>
          <w:szCs w:val="24"/>
        </w:rPr>
        <w:t xml:space="preserve">). </w:t>
      </w:r>
      <w:r w:rsidR="004E64D0" w:rsidRPr="002B6F86">
        <w:rPr>
          <w:rFonts w:ascii="Calibri" w:hAnsi="Calibri"/>
          <w:sz w:val="24"/>
          <w:szCs w:val="24"/>
        </w:rPr>
        <w:t>Dashed lines indicate the population norm of 50 for both scores. Panels C and D show the subset of patient with SF12v2 measured at both 3 months and 12 months</w:t>
      </w:r>
      <w:r w:rsidR="004E64D0" w:rsidRPr="002B6F86">
        <w:rPr>
          <w:rStyle w:val="s1"/>
          <w:rFonts w:ascii="Calibri" w:hAnsi="Calibri"/>
          <w:sz w:val="24"/>
          <w:szCs w:val="24"/>
        </w:rPr>
        <w:t xml:space="preserve"> </w:t>
      </w:r>
      <w:r w:rsidR="004E64D0" w:rsidRPr="002B6F86">
        <w:rPr>
          <w:rFonts w:ascii="Calibri" w:hAnsi="Calibri"/>
          <w:sz w:val="24"/>
          <w:szCs w:val="24"/>
        </w:rPr>
        <w:t>to demonstrate subgroups of patients that improved or deteriorated by more than the minimal clinical important difference (5 points) on each scale between 3 and 12 months. Plots are stratified by quartile of PCS (C) or MCS (D) at 3 months. Panels A and B: Whole cohort data. n at 3, 6 and 12 months: 197, 165, and 155 respectively. Panels C and D: subset of patients with PCS/MCS data at 3 months at 12 months: n=147.</w:t>
      </w:r>
    </w:p>
    <w:p w14:paraId="115DD1C3" w14:textId="77777777" w:rsidR="00D07D17" w:rsidRPr="00B34E09" w:rsidRDefault="00D07D17" w:rsidP="00B34E09">
      <w:pPr>
        <w:spacing w:line="480" w:lineRule="auto"/>
        <w:rPr>
          <w:b/>
          <w:sz w:val="24"/>
          <w:szCs w:val="24"/>
        </w:rPr>
      </w:pPr>
    </w:p>
    <w:p w14:paraId="7314539E" w14:textId="39032BBF" w:rsidR="004E64D0" w:rsidRDefault="004E64D0" w:rsidP="00B34E09">
      <w:pPr>
        <w:spacing w:after="0" w:line="480" w:lineRule="auto"/>
        <w:rPr>
          <w:b/>
          <w:color w:val="000000" w:themeColor="text1"/>
          <w:sz w:val="24"/>
          <w:szCs w:val="24"/>
        </w:rPr>
      </w:pPr>
      <w:r w:rsidRPr="002B6F86">
        <w:rPr>
          <w:b/>
          <w:color w:val="000000" w:themeColor="text1"/>
          <w:sz w:val="24"/>
          <w:szCs w:val="24"/>
        </w:rPr>
        <w:t>Figure 2</w:t>
      </w:r>
    </w:p>
    <w:p w14:paraId="4F63B697" w14:textId="77777777" w:rsidR="0088024C" w:rsidRPr="002B6F86" w:rsidRDefault="0088024C" w:rsidP="00B34E09">
      <w:pPr>
        <w:spacing w:after="0" w:line="480" w:lineRule="auto"/>
        <w:rPr>
          <w:b/>
          <w:color w:val="000000" w:themeColor="text1"/>
          <w:sz w:val="24"/>
          <w:szCs w:val="24"/>
        </w:rPr>
      </w:pPr>
    </w:p>
    <w:p w14:paraId="6D77060C" w14:textId="49B20904" w:rsidR="004E64D0" w:rsidRPr="002B6F86" w:rsidRDefault="00C81A35" w:rsidP="00B34E09">
      <w:pPr>
        <w:spacing w:after="0" w:line="480" w:lineRule="auto"/>
        <w:ind w:firstLine="720"/>
        <w:rPr>
          <w:color w:val="000000" w:themeColor="text1"/>
          <w:sz w:val="24"/>
          <w:szCs w:val="24"/>
          <w:lang w:val="en-US"/>
        </w:rPr>
      </w:pPr>
      <w:r>
        <w:rPr>
          <w:color w:val="000000" w:themeColor="text1"/>
          <w:sz w:val="24"/>
          <w:szCs w:val="24"/>
          <w:lang w:val="en-US"/>
        </w:rPr>
        <w:t>Health-related</w:t>
      </w:r>
      <w:r w:rsidR="004E64D0" w:rsidRPr="002B6F86">
        <w:rPr>
          <w:color w:val="000000" w:themeColor="text1"/>
          <w:sz w:val="24"/>
          <w:szCs w:val="24"/>
          <w:lang w:val="en-US"/>
        </w:rPr>
        <w:t xml:space="preserve"> quality of life trajectory between 3 and 12 months after ICU discharge for patients with data at all time points. Panels show data for Physical Component Score (A) and Mental Component Score (B) stratified according to the number of baseline comorbidities. Mean (standard error of the mean). n=137</w:t>
      </w:r>
      <w:r w:rsidR="008F694E">
        <w:rPr>
          <w:color w:val="000000" w:themeColor="text1"/>
          <w:sz w:val="24"/>
          <w:szCs w:val="24"/>
          <w:lang w:val="en-US"/>
        </w:rPr>
        <w:t>.</w:t>
      </w:r>
    </w:p>
    <w:p w14:paraId="33975BBA" w14:textId="44B7EC51" w:rsidR="004E64D0" w:rsidRPr="002B6F86" w:rsidRDefault="004E64D0" w:rsidP="00B34E09">
      <w:pPr>
        <w:spacing w:after="0" w:line="480" w:lineRule="auto"/>
        <w:rPr>
          <w:b/>
          <w:color w:val="000000" w:themeColor="text1"/>
          <w:sz w:val="24"/>
          <w:szCs w:val="24"/>
        </w:rPr>
      </w:pPr>
    </w:p>
    <w:sectPr w:rsidR="004E64D0" w:rsidRPr="002B6F86" w:rsidSect="002C7834">
      <w:footerReference w:type="default" r:id="rId14"/>
      <w:type w:val="continuous"/>
      <w:pgSz w:w="11900" w:h="16840"/>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6490C" w14:textId="77777777" w:rsidR="00D47EA9" w:rsidRDefault="00D47EA9" w:rsidP="00956D57">
      <w:pPr>
        <w:spacing w:after="0" w:line="240" w:lineRule="auto"/>
      </w:pPr>
      <w:r>
        <w:separator/>
      </w:r>
    </w:p>
  </w:endnote>
  <w:endnote w:type="continuationSeparator" w:id="0">
    <w:p w14:paraId="7B097AD0" w14:textId="77777777" w:rsidR="00D47EA9" w:rsidRDefault="00D47EA9" w:rsidP="0095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BC1BE" w14:textId="77777777" w:rsidR="00B34E09" w:rsidRDefault="00B34E09" w:rsidP="002B6F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D21F0" w14:textId="77777777" w:rsidR="00B34E09" w:rsidRDefault="00B34E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18A5C" w14:textId="77777777" w:rsidR="00B34E09" w:rsidRDefault="00B34E09" w:rsidP="00B34E0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1FB">
      <w:rPr>
        <w:rStyle w:val="PageNumber"/>
        <w:noProof/>
      </w:rPr>
      <w:t>2</w:t>
    </w:r>
    <w:r>
      <w:rPr>
        <w:rStyle w:val="PageNumber"/>
      </w:rPr>
      <w:fldChar w:fldCharType="end"/>
    </w:r>
  </w:p>
  <w:p w14:paraId="6763F5F1" w14:textId="77777777" w:rsidR="00B34E09" w:rsidRDefault="00B34E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1FD36" w14:textId="77777777" w:rsidR="00B34E09" w:rsidRDefault="00B34E0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FDDB" w14:textId="19661293" w:rsidR="00B34E09" w:rsidRDefault="00B34E09" w:rsidP="00B34E09">
    <w:pPr>
      <w:pStyle w:val="Footer"/>
      <w:framePr w:wrap="none" w:vAnchor="text" w:hAnchor="page" w:x="5882" w:y="-21"/>
      <w:rPr>
        <w:rStyle w:val="PageNumber"/>
      </w:rPr>
    </w:pPr>
    <w:r>
      <w:rPr>
        <w:rStyle w:val="PageNumber"/>
      </w:rPr>
      <w:fldChar w:fldCharType="begin"/>
    </w:r>
    <w:r>
      <w:rPr>
        <w:rStyle w:val="PageNumber"/>
      </w:rPr>
      <w:instrText xml:space="preserve">PAGE  </w:instrText>
    </w:r>
    <w:r>
      <w:rPr>
        <w:rStyle w:val="PageNumber"/>
      </w:rPr>
      <w:fldChar w:fldCharType="separate"/>
    </w:r>
    <w:r w:rsidR="001071FB">
      <w:rPr>
        <w:rStyle w:val="PageNumber"/>
        <w:noProof/>
      </w:rPr>
      <w:t>7</w:t>
    </w:r>
    <w:r>
      <w:rPr>
        <w:rStyle w:val="PageNumber"/>
      </w:rPr>
      <w:fldChar w:fldCharType="end"/>
    </w:r>
  </w:p>
  <w:p w14:paraId="7DA37917" w14:textId="77777777" w:rsidR="00B34E09" w:rsidRDefault="00B34E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CA6A0" w14:textId="77777777" w:rsidR="00D47EA9" w:rsidRDefault="00D47EA9" w:rsidP="00956D57">
      <w:pPr>
        <w:spacing w:after="0" w:line="240" w:lineRule="auto"/>
      </w:pPr>
      <w:r>
        <w:separator/>
      </w:r>
    </w:p>
  </w:footnote>
  <w:footnote w:type="continuationSeparator" w:id="0">
    <w:p w14:paraId="3D8A5425" w14:textId="77777777" w:rsidR="00D47EA9" w:rsidRDefault="00D47EA9" w:rsidP="00956D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AD6E" w14:textId="77777777" w:rsidR="00B34E09" w:rsidRDefault="00B34E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3703" w14:textId="77777777" w:rsidR="00B34E09" w:rsidRDefault="00B34E0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9E57" w14:textId="77777777" w:rsidR="00B34E09" w:rsidRDefault="00B34E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16A"/>
    <w:multiLevelType w:val="hybridMultilevel"/>
    <w:tmpl w:val="4A7C0BDA"/>
    <w:lvl w:ilvl="0" w:tplc="F32202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36890"/>
    <w:multiLevelType w:val="hybridMultilevel"/>
    <w:tmpl w:val="E5C8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63959"/>
    <w:multiLevelType w:val="hybridMultilevel"/>
    <w:tmpl w:val="A8847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4147DD5"/>
    <w:multiLevelType w:val="hybridMultilevel"/>
    <w:tmpl w:val="225ECA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532CD3"/>
    <w:multiLevelType w:val="hybridMultilevel"/>
    <w:tmpl w:val="ABCAD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A16C66"/>
    <w:multiLevelType w:val="hybridMultilevel"/>
    <w:tmpl w:val="EE0E27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F45963"/>
    <w:multiLevelType w:val="hybridMultilevel"/>
    <w:tmpl w:val="A48AB3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F1B52DC"/>
    <w:multiLevelType w:val="hybridMultilevel"/>
    <w:tmpl w:val="F71ED4D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6A144420"/>
    <w:multiLevelType w:val="multilevel"/>
    <w:tmpl w:val="9FAA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47254"/>
    <w:multiLevelType w:val="hybridMultilevel"/>
    <w:tmpl w:val="72709830"/>
    <w:lvl w:ilvl="0" w:tplc="C8785F82">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532BEC"/>
    <w:multiLevelType w:val="hybridMultilevel"/>
    <w:tmpl w:val="CA7A296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71E35BAE"/>
    <w:multiLevelType w:val="hybridMultilevel"/>
    <w:tmpl w:val="DC18F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33"/>
    <w:rsid w:val="000011A7"/>
    <w:rsid w:val="00001708"/>
    <w:rsid w:val="0000291D"/>
    <w:rsid w:val="000031A1"/>
    <w:rsid w:val="00003208"/>
    <w:rsid w:val="00003299"/>
    <w:rsid w:val="00012D2A"/>
    <w:rsid w:val="00014370"/>
    <w:rsid w:val="00016FC7"/>
    <w:rsid w:val="000247F0"/>
    <w:rsid w:val="00024F5D"/>
    <w:rsid w:val="000264C3"/>
    <w:rsid w:val="00026E0B"/>
    <w:rsid w:val="000276A4"/>
    <w:rsid w:val="00027FDD"/>
    <w:rsid w:val="00030CAD"/>
    <w:rsid w:val="00033FE0"/>
    <w:rsid w:val="000344D6"/>
    <w:rsid w:val="00035CC2"/>
    <w:rsid w:val="0003741E"/>
    <w:rsid w:val="000432B5"/>
    <w:rsid w:val="00043C6D"/>
    <w:rsid w:val="00044EEC"/>
    <w:rsid w:val="00056E6A"/>
    <w:rsid w:val="0005731B"/>
    <w:rsid w:val="000635A5"/>
    <w:rsid w:val="00063831"/>
    <w:rsid w:val="00064AF1"/>
    <w:rsid w:val="00065FCE"/>
    <w:rsid w:val="00066E62"/>
    <w:rsid w:val="00080745"/>
    <w:rsid w:val="00080BC7"/>
    <w:rsid w:val="000811A2"/>
    <w:rsid w:val="00082687"/>
    <w:rsid w:val="0008395B"/>
    <w:rsid w:val="00084CA2"/>
    <w:rsid w:val="00090BB5"/>
    <w:rsid w:val="00092A4F"/>
    <w:rsid w:val="00092E22"/>
    <w:rsid w:val="00093CE4"/>
    <w:rsid w:val="000962FE"/>
    <w:rsid w:val="000A12FF"/>
    <w:rsid w:val="000A1EC0"/>
    <w:rsid w:val="000A6268"/>
    <w:rsid w:val="000B4BF6"/>
    <w:rsid w:val="000B62BB"/>
    <w:rsid w:val="000B690B"/>
    <w:rsid w:val="000B6D0D"/>
    <w:rsid w:val="000D0E5F"/>
    <w:rsid w:val="000D3799"/>
    <w:rsid w:val="000D4F25"/>
    <w:rsid w:val="000D5142"/>
    <w:rsid w:val="000D6623"/>
    <w:rsid w:val="000E0799"/>
    <w:rsid w:val="000E3549"/>
    <w:rsid w:val="000E3764"/>
    <w:rsid w:val="000E7CF2"/>
    <w:rsid w:val="000E7DD3"/>
    <w:rsid w:val="000F37F2"/>
    <w:rsid w:val="000F3A5F"/>
    <w:rsid w:val="000F42C5"/>
    <w:rsid w:val="000F5476"/>
    <w:rsid w:val="000F5D95"/>
    <w:rsid w:val="00100C42"/>
    <w:rsid w:val="001062CE"/>
    <w:rsid w:val="001071FB"/>
    <w:rsid w:val="00107FA4"/>
    <w:rsid w:val="00113D1A"/>
    <w:rsid w:val="001216A9"/>
    <w:rsid w:val="001240A8"/>
    <w:rsid w:val="001251CB"/>
    <w:rsid w:val="0012548E"/>
    <w:rsid w:val="001262BC"/>
    <w:rsid w:val="00126C15"/>
    <w:rsid w:val="001318DB"/>
    <w:rsid w:val="00131EBA"/>
    <w:rsid w:val="0013315D"/>
    <w:rsid w:val="00134428"/>
    <w:rsid w:val="001404B6"/>
    <w:rsid w:val="001419F1"/>
    <w:rsid w:val="001463CA"/>
    <w:rsid w:val="00147F41"/>
    <w:rsid w:val="00150FBE"/>
    <w:rsid w:val="00151726"/>
    <w:rsid w:val="00151A1E"/>
    <w:rsid w:val="001524FE"/>
    <w:rsid w:val="001544EB"/>
    <w:rsid w:val="00154CD3"/>
    <w:rsid w:val="00157D91"/>
    <w:rsid w:val="00160A74"/>
    <w:rsid w:val="00161F9C"/>
    <w:rsid w:val="001629D7"/>
    <w:rsid w:val="00165EF3"/>
    <w:rsid w:val="00166929"/>
    <w:rsid w:val="001718A2"/>
    <w:rsid w:val="00171DCC"/>
    <w:rsid w:val="001727DA"/>
    <w:rsid w:val="0017368D"/>
    <w:rsid w:val="001741FA"/>
    <w:rsid w:val="001749A2"/>
    <w:rsid w:val="00180079"/>
    <w:rsid w:val="00183AED"/>
    <w:rsid w:val="00184965"/>
    <w:rsid w:val="00185AAE"/>
    <w:rsid w:val="001904D5"/>
    <w:rsid w:val="00191E9B"/>
    <w:rsid w:val="00196290"/>
    <w:rsid w:val="001A00B2"/>
    <w:rsid w:val="001A11A1"/>
    <w:rsid w:val="001A1841"/>
    <w:rsid w:val="001A2FC6"/>
    <w:rsid w:val="001B033A"/>
    <w:rsid w:val="001C072A"/>
    <w:rsid w:val="001C24DF"/>
    <w:rsid w:val="001C289C"/>
    <w:rsid w:val="001C49DF"/>
    <w:rsid w:val="001D1188"/>
    <w:rsid w:val="001D4027"/>
    <w:rsid w:val="001D487E"/>
    <w:rsid w:val="001D6F61"/>
    <w:rsid w:val="001D775B"/>
    <w:rsid w:val="001D7D68"/>
    <w:rsid w:val="001E5B62"/>
    <w:rsid w:val="001E62B1"/>
    <w:rsid w:val="001E687A"/>
    <w:rsid w:val="001E734F"/>
    <w:rsid w:val="001F402D"/>
    <w:rsid w:val="001F5B4C"/>
    <w:rsid w:val="001F7FF5"/>
    <w:rsid w:val="0020116D"/>
    <w:rsid w:val="00202DF2"/>
    <w:rsid w:val="00203FCE"/>
    <w:rsid w:val="002053FC"/>
    <w:rsid w:val="00205CB3"/>
    <w:rsid w:val="00207310"/>
    <w:rsid w:val="00207F3A"/>
    <w:rsid w:val="00210D33"/>
    <w:rsid w:val="002122DB"/>
    <w:rsid w:val="0021273F"/>
    <w:rsid w:val="00213951"/>
    <w:rsid w:val="002170F3"/>
    <w:rsid w:val="00221124"/>
    <w:rsid w:val="00221BC5"/>
    <w:rsid w:val="00224E6E"/>
    <w:rsid w:val="00225232"/>
    <w:rsid w:val="002254C7"/>
    <w:rsid w:val="00226480"/>
    <w:rsid w:val="00230738"/>
    <w:rsid w:val="00231217"/>
    <w:rsid w:val="002356C4"/>
    <w:rsid w:val="00235F72"/>
    <w:rsid w:val="0023602E"/>
    <w:rsid w:val="002375ED"/>
    <w:rsid w:val="002536A2"/>
    <w:rsid w:val="0025638A"/>
    <w:rsid w:val="00257387"/>
    <w:rsid w:val="002573D8"/>
    <w:rsid w:val="0026168A"/>
    <w:rsid w:val="00261839"/>
    <w:rsid w:val="00267E10"/>
    <w:rsid w:val="002741E0"/>
    <w:rsid w:val="002806E9"/>
    <w:rsid w:val="002814D9"/>
    <w:rsid w:val="00284374"/>
    <w:rsid w:val="0028660D"/>
    <w:rsid w:val="0028799F"/>
    <w:rsid w:val="00287DFB"/>
    <w:rsid w:val="00291B44"/>
    <w:rsid w:val="0029555A"/>
    <w:rsid w:val="002968B4"/>
    <w:rsid w:val="002A2881"/>
    <w:rsid w:val="002A361F"/>
    <w:rsid w:val="002A48CC"/>
    <w:rsid w:val="002A50A3"/>
    <w:rsid w:val="002A7871"/>
    <w:rsid w:val="002B0130"/>
    <w:rsid w:val="002B0A71"/>
    <w:rsid w:val="002B10F4"/>
    <w:rsid w:val="002B11C6"/>
    <w:rsid w:val="002B2F4A"/>
    <w:rsid w:val="002B33AD"/>
    <w:rsid w:val="002B6F86"/>
    <w:rsid w:val="002B7FFD"/>
    <w:rsid w:val="002C707E"/>
    <w:rsid w:val="002C7834"/>
    <w:rsid w:val="002D5147"/>
    <w:rsid w:val="002E0977"/>
    <w:rsid w:val="002E153E"/>
    <w:rsid w:val="002E40CB"/>
    <w:rsid w:val="002E4413"/>
    <w:rsid w:val="002E47F2"/>
    <w:rsid w:val="002F013C"/>
    <w:rsid w:val="002F0289"/>
    <w:rsid w:val="002F3308"/>
    <w:rsid w:val="002F36AD"/>
    <w:rsid w:val="002F58F7"/>
    <w:rsid w:val="002F6659"/>
    <w:rsid w:val="002F7F58"/>
    <w:rsid w:val="00305E17"/>
    <w:rsid w:val="00307648"/>
    <w:rsid w:val="00307C59"/>
    <w:rsid w:val="0031016F"/>
    <w:rsid w:val="00311714"/>
    <w:rsid w:val="0031215B"/>
    <w:rsid w:val="00312B97"/>
    <w:rsid w:val="00312F1C"/>
    <w:rsid w:val="00313316"/>
    <w:rsid w:val="00314C24"/>
    <w:rsid w:val="00314C50"/>
    <w:rsid w:val="00315201"/>
    <w:rsid w:val="00316077"/>
    <w:rsid w:val="00317966"/>
    <w:rsid w:val="00317C88"/>
    <w:rsid w:val="0032096F"/>
    <w:rsid w:val="003223EF"/>
    <w:rsid w:val="00324149"/>
    <w:rsid w:val="0032701A"/>
    <w:rsid w:val="003279BB"/>
    <w:rsid w:val="00334A90"/>
    <w:rsid w:val="00335BAB"/>
    <w:rsid w:val="00336305"/>
    <w:rsid w:val="003434DF"/>
    <w:rsid w:val="00344884"/>
    <w:rsid w:val="00347AB0"/>
    <w:rsid w:val="0035405D"/>
    <w:rsid w:val="003553E8"/>
    <w:rsid w:val="003608E0"/>
    <w:rsid w:val="00364BA9"/>
    <w:rsid w:val="0037014F"/>
    <w:rsid w:val="00373FCF"/>
    <w:rsid w:val="003766EE"/>
    <w:rsid w:val="00382BBE"/>
    <w:rsid w:val="003863D6"/>
    <w:rsid w:val="003869E2"/>
    <w:rsid w:val="00390E7B"/>
    <w:rsid w:val="00391236"/>
    <w:rsid w:val="00391532"/>
    <w:rsid w:val="0039175A"/>
    <w:rsid w:val="00391DBE"/>
    <w:rsid w:val="00393FA3"/>
    <w:rsid w:val="00393FCC"/>
    <w:rsid w:val="00394AE6"/>
    <w:rsid w:val="00394F93"/>
    <w:rsid w:val="003964B9"/>
    <w:rsid w:val="003A05C3"/>
    <w:rsid w:val="003A2306"/>
    <w:rsid w:val="003A5ED2"/>
    <w:rsid w:val="003B3457"/>
    <w:rsid w:val="003B3F9A"/>
    <w:rsid w:val="003B63B0"/>
    <w:rsid w:val="003B6481"/>
    <w:rsid w:val="003C0F8B"/>
    <w:rsid w:val="003C1C99"/>
    <w:rsid w:val="003C2486"/>
    <w:rsid w:val="003C2C2F"/>
    <w:rsid w:val="003C4EFA"/>
    <w:rsid w:val="003C4F25"/>
    <w:rsid w:val="003C58AA"/>
    <w:rsid w:val="003D0656"/>
    <w:rsid w:val="003D1694"/>
    <w:rsid w:val="003D1F85"/>
    <w:rsid w:val="003D6C0B"/>
    <w:rsid w:val="003E2533"/>
    <w:rsid w:val="003E6E72"/>
    <w:rsid w:val="003E7F7A"/>
    <w:rsid w:val="003F121A"/>
    <w:rsid w:val="003F2AC1"/>
    <w:rsid w:val="003F2EFF"/>
    <w:rsid w:val="003F61D8"/>
    <w:rsid w:val="00404964"/>
    <w:rsid w:val="00404D7D"/>
    <w:rsid w:val="00405C6A"/>
    <w:rsid w:val="00406751"/>
    <w:rsid w:val="004152B9"/>
    <w:rsid w:val="00416F33"/>
    <w:rsid w:val="0042133B"/>
    <w:rsid w:val="00422DBE"/>
    <w:rsid w:val="004276A1"/>
    <w:rsid w:val="00432290"/>
    <w:rsid w:val="00433FC3"/>
    <w:rsid w:val="00434BB6"/>
    <w:rsid w:val="004427CA"/>
    <w:rsid w:val="004429EA"/>
    <w:rsid w:val="00443579"/>
    <w:rsid w:val="00443817"/>
    <w:rsid w:val="004442B7"/>
    <w:rsid w:val="00445089"/>
    <w:rsid w:val="00453FAB"/>
    <w:rsid w:val="00455F2F"/>
    <w:rsid w:val="00456211"/>
    <w:rsid w:val="004571C9"/>
    <w:rsid w:val="0046163F"/>
    <w:rsid w:val="00461EC6"/>
    <w:rsid w:val="00464083"/>
    <w:rsid w:val="004641E8"/>
    <w:rsid w:val="00465267"/>
    <w:rsid w:val="00471F3E"/>
    <w:rsid w:val="00472151"/>
    <w:rsid w:val="0047368A"/>
    <w:rsid w:val="0048381D"/>
    <w:rsid w:val="004841C7"/>
    <w:rsid w:val="00484B5E"/>
    <w:rsid w:val="00484DC8"/>
    <w:rsid w:val="0048636A"/>
    <w:rsid w:val="00490E33"/>
    <w:rsid w:val="0049313B"/>
    <w:rsid w:val="00494A46"/>
    <w:rsid w:val="00495C69"/>
    <w:rsid w:val="00496D17"/>
    <w:rsid w:val="00496DC7"/>
    <w:rsid w:val="004A0AAC"/>
    <w:rsid w:val="004A11FB"/>
    <w:rsid w:val="004A1254"/>
    <w:rsid w:val="004A2A26"/>
    <w:rsid w:val="004A66C5"/>
    <w:rsid w:val="004C011F"/>
    <w:rsid w:val="004C0BA4"/>
    <w:rsid w:val="004C4160"/>
    <w:rsid w:val="004C4704"/>
    <w:rsid w:val="004D1318"/>
    <w:rsid w:val="004D1AAB"/>
    <w:rsid w:val="004D24BE"/>
    <w:rsid w:val="004D3289"/>
    <w:rsid w:val="004D44FD"/>
    <w:rsid w:val="004D55CA"/>
    <w:rsid w:val="004D70B7"/>
    <w:rsid w:val="004D77C0"/>
    <w:rsid w:val="004E005E"/>
    <w:rsid w:val="004E5651"/>
    <w:rsid w:val="004E64D0"/>
    <w:rsid w:val="004E70C6"/>
    <w:rsid w:val="004E7404"/>
    <w:rsid w:val="004F2624"/>
    <w:rsid w:val="0050145A"/>
    <w:rsid w:val="00503918"/>
    <w:rsid w:val="00513278"/>
    <w:rsid w:val="00515355"/>
    <w:rsid w:val="005170F9"/>
    <w:rsid w:val="00517273"/>
    <w:rsid w:val="005214AE"/>
    <w:rsid w:val="0052365F"/>
    <w:rsid w:val="00527E3C"/>
    <w:rsid w:val="00532A4D"/>
    <w:rsid w:val="00532CE8"/>
    <w:rsid w:val="00533E77"/>
    <w:rsid w:val="0053648A"/>
    <w:rsid w:val="005403FD"/>
    <w:rsid w:val="005420EC"/>
    <w:rsid w:val="00542AB7"/>
    <w:rsid w:val="00542B4C"/>
    <w:rsid w:val="0054555E"/>
    <w:rsid w:val="00545AAE"/>
    <w:rsid w:val="005465BD"/>
    <w:rsid w:val="00547F4E"/>
    <w:rsid w:val="005603DC"/>
    <w:rsid w:val="00560DD7"/>
    <w:rsid w:val="00566DBD"/>
    <w:rsid w:val="0056742F"/>
    <w:rsid w:val="00574111"/>
    <w:rsid w:val="00575B3F"/>
    <w:rsid w:val="00576556"/>
    <w:rsid w:val="00580F82"/>
    <w:rsid w:val="0058257A"/>
    <w:rsid w:val="00582F77"/>
    <w:rsid w:val="00585010"/>
    <w:rsid w:val="00585563"/>
    <w:rsid w:val="005945CE"/>
    <w:rsid w:val="0059502E"/>
    <w:rsid w:val="00596F57"/>
    <w:rsid w:val="005A2CF6"/>
    <w:rsid w:val="005A3C90"/>
    <w:rsid w:val="005A5310"/>
    <w:rsid w:val="005B018F"/>
    <w:rsid w:val="005B2278"/>
    <w:rsid w:val="005B5AED"/>
    <w:rsid w:val="005B6DB6"/>
    <w:rsid w:val="005C1857"/>
    <w:rsid w:val="005C23A1"/>
    <w:rsid w:val="005C2C8A"/>
    <w:rsid w:val="005C6AD0"/>
    <w:rsid w:val="005C77A6"/>
    <w:rsid w:val="005D024D"/>
    <w:rsid w:val="005D0C5A"/>
    <w:rsid w:val="005D1A9F"/>
    <w:rsid w:val="005D27A6"/>
    <w:rsid w:val="005D5093"/>
    <w:rsid w:val="005D5797"/>
    <w:rsid w:val="005D5F03"/>
    <w:rsid w:val="005D7104"/>
    <w:rsid w:val="005D71EF"/>
    <w:rsid w:val="005E100C"/>
    <w:rsid w:val="005E15B9"/>
    <w:rsid w:val="005E4E94"/>
    <w:rsid w:val="005E55F4"/>
    <w:rsid w:val="005E60FB"/>
    <w:rsid w:val="005E63F4"/>
    <w:rsid w:val="005E754C"/>
    <w:rsid w:val="005F1A0B"/>
    <w:rsid w:val="005F4B2D"/>
    <w:rsid w:val="005F5FDB"/>
    <w:rsid w:val="005F74EE"/>
    <w:rsid w:val="005F75CA"/>
    <w:rsid w:val="00600A03"/>
    <w:rsid w:val="006043EF"/>
    <w:rsid w:val="00604C28"/>
    <w:rsid w:val="0060662E"/>
    <w:rsid w:val="00606AF4"/>
    <w:rsid w:val="00613EC0"/>
    <w:rsid w:val="00614B5E"/>
    <w:rsid w:val="006154E7"/>
    <w:rsid w:val="006155BE"/>
    <w:rsid w:val="00621F04"/>
    <w:rsid w:val="00622DF7"/>
    <w:rsid w:val="0062321D"/>
    <w:rsid w:val="006239CE"/>
    <w:rsid w:val="006307BE"/>
    <w:rsid w:val="0063170C"/>
    <w:rsid w:val="00633B64"/>
    <w:rsid w:val="00635863"/>
    <w:rsid w:val="006420DB"/>
    <w:rsid w:val="00643521"/>
    <w:rsid w:val="0064660F"/>
    <w:rsid w:val="00650F9D"/>
    <w:rsid w:val="00651049"/>
    <w:rsid w:val="00654974"/>
    <w:rsid w:val="00655B78"/>
    <w:rsid w:val="00656FB5"/>
    <w:rsid w:val="00661241"/>
    <w:rsid w:val="00661CCC"/>
    <w:rsid w:val="00664158"/>
    <w:rsid w:val="0066482D"/>
    <w:rsid w:val="006679C2"/>
    <w:rsid w:val="0067261E"/>
    <w:rsid w:val="0067448B"/>
    <w:rsid w:val="00675C68"/>
    <w:rsid w:val="00675D12"/>
    <w:rsid w:val="00675F36"/>
    <w:rsid w:val="006775AA"/>
    <w:rsid w:val="00677761"/>
    <w:rsid w:val="0068324A"/>
    <w:rsid w:val="00684D3B"/>
    <w:rsid w:val="006854BB"/>
    <w:rsid w:val="00685DCE"/>
    <w:rsid w:val="00687F21"/>
    <w:rsid w:val="00691641"/>
    <w:rsid w:val="00696EF6"/>
    <w:rsid w:val="0069744F"/>
    <w:rsid w:val="006A385C"/>
    <w:rsid w:val="006A4352"/>
    <w:rsid w:val="006B05CE"/>
    <w:rsid w:val="006B0F01"/>
    <w:rsid w:val="006B1B34"/>
    <w:rsid w:val="006B4E9B"/>
    <w:rsid w:val="006B5E23"/>
    <w:rsid w:val="006B71EB"/>
    <w:rsid w:val="006C1AB8"/>
    <w:rsid w:val="006C4483"/>
    <w:rsid w:val="006C64C0"/>
    <w:rsid w:val="006C78EF"/>
    <w:rsid w:val="006D2042"/>
    <w:rsid w:val="006D5BA1"/>
    <w:rsid w:val="006D5D99"/>
    <w:rsid w:val="006D6916"/>
    <w:rsid w:val="006D6FCD"/>
    <w:rsid w:val="006E0959"/>
    <w:rsid w:val="006E0C55"/>
    <w:rsid w:val="006E3127"/>
    <w:rsid w:val="006E3760"/>
    <w:rsid w:val="006E51BB"/>
    <w:rsid w:val="006E6EA4"/>
    <w:rsid w:val="006E7028"/>
    <w:rsid w:val="006E7B71"/>
    <w:rsid w:val="006F1F44"/>
    <w:rsid w:val="006F3B98"/>
    <w:rsid w:val="006F5FA8"/>
    <w:rsid w:val="006F6F7E"/>
    <w:rsid w:val="006F773C"/>
    <w:rsid w:val="007003BB"/>
    <w:rsid w:val="00700A94"/>
    <w:rsid w:val="007075CD"/>
    <w:rsid w:val="007109DC"/>
    <w:rsid w:val="00711831"/>
    <w:rsid w:val="0071254C"/>
    <w:rsid w:val="00714486"/>
    <w:rsid w:val="00717429"/>
    <w:rsid w:val="0071769B"/>
    <w:rsid w:val="007176E4"/>
    <w:rsid w:val="00717CAF"/>
    <w:rsid w:val="00722685"/>
    <w:rsid w:val="00722EB5"/>
    <w:rsid w:val="00723ABF"/>
    <w:rsid w:val="00724582"/>
    <w:rsid w:val="00725B86"/>
    <w:rsid w:val="0073114B"/>
    <w:rsid w:val="0073319B"/>
    <w:rsid w:val="007338DA"/>
    <w:rsid w:val="00735201"/>
    <w:rsid w:val="00740EDD"/>
    <w:rsid w:val="00741BA4"/>
    <w:rsid w:val="00741C5C"/>
    <w:rsid w:val="0074488B"/>
    <w:rsid w:val="00746138"/>
    <w:rsid w:val="00746D3D"/>
    <w:rsid w:val="007508C3"/>
    <w:rsid w:val="00750AD7"/>
    <w:rsid w:val="007544AC"/>
    <w:rsid w:val="00755687"/>
    <w:rsid w:val="007574C7"/>
    <w:rsid w:val="00761424"/>
    <w:rsid w:val="00762F7B"/>
    <w:rsid w:val="00766CC2"/>
    <w:rsid w:val="00770E14"/>
    <w:rsid w:val="0077122D"/>
    <w:rsid w:val="007714F0"/>
    <w:rsid w:val="0077187C"/>
    <w:rsid w:val="00780240"/>
    <w:rsid w:val="007804D7"/>
    <w:rsid w:val="00785876"/>
    <w:rsid w:val="007916C7"/>
    <w:rsid w:val="007924C9"/>
    <w:rsid w:val="007950D2"/>
    <w:rsid w:val="007A0132"/>
    <w:rsid w:val="007A2249"/>
    <w:rsid w:val="007A23AB"/>
    <w:rsid w:val="007A2492"/>
    <w:rsid w:val="007B1F96"/>
    <w:rsid w:val="007B275E"/>
    <w:rsid w:val="007B3C79"/>
    <w:rsid w:val="007B3FED"/>
    <w:rsid w:val="007B4222"/>
    <w:rsid w:val="007B4973"/>
    <w:rsid w:val="007C0292"/>
    <w:rsid w:val="007C1A5A"/>
    <w:rsid w:val="007C5D8D"/>
    <w:rsid w:val="007C6B15"/>
    <w:rsid w:val="007D3521"/>
    <w:rsid w:val="007D6503"/>
    <w:rsid w:val="007D6A49"/>
    <w:rsid w:val="007E243A"/>
    <w:rsid w:val="007E307E"/>
    <w:rsid w:val="007E3D99"/>
    <w:rsid w:val="007E6554"/>
    <w:rsid w:val="007E7164"/>
    <w:rsid w:val="007F07DD"/>
    <w:rsid w:val="007F2B5A"/>
    <w:rsid w:val="007F2E42"/>
    <w:rsid w:val="007F7F86"/>
    <w:rsid w:val="00807733"/>
    <w:rsid w:val="008101C7"/>
    <w:rsid w:val="00812B4B"/>
    <w:rsid w:val="00814346"/>
    <w:rsid w:val="008144B8"/>
    <w:rsid w:val="00815443"/>
    <w:rsid w:val="00815545"/>
    <w:rsid w:val="008157E4"/>
    <w:rsid w:val="008178E1"/>
    <w:rsid w:val="00822977"/>
    <w:rsid w:val="0082394F"/>
    <w:rsid w:val="0082422B"/>
    <w:rsid w:val="008311D9"/>
    <w:rsid w:val="008316B4"/>
    <w:rsid w:val="00833ABE"/>
    <w:rsid w:val="00835471"/>
    <w:rsid w:val="008358AB"/>
    <w:rsid w:val="008360F6"/>
    <w:rsid w:val="008364A3"/>
    <w:rsid w:val="00850767"/>
    <w:rsid w:val="008519BC"/>
    <w:rsid w:val="00852FAC"/>
    <w:rsid w:val="0085702B"/>
    <w:rsid w:val="00860D92"/>
    <w:rsid w:val="00861548"/>
    <w:rsid w:val="00861F16"/>
    <w:rsid w:val="008641F0"/>
    <w:rsid w:val="00866306"/>
    <w:rsid w:val="00866D21"/>
    <w:rsid w:val="008678BE"/>
    <w:rsid w:val="00867A79"/>
    <w:rsid w:val="008706C4"/>
    <w:rsid w:val="00870961"/>
    <w:rsid w:val="00871601"/>
    <w:rsid w:val="008723D7"/>
    <w:rsid w:val="00874783"/>
    <w:rsid w:val="008755B8"/>
    <w:rsid w:val="008800C6"/>
    <w:rsid w:val="0088024C"/>
    <w:rsid w:val="00881E5E"/>
    <w:rsid w:val="008851CA"/>
    <w:rsid w:val="00891620"/>
    <w:rsid w:val="00895CCB"/>
    <w:rsid w:val="00897306"/>
    <w:rsid w:val="008A353A"/>
    <w:rsid w:val="008B3ACE"/>
    <w:rsid w:val="008B62DE"/>
    <w:rsid w:val="008C5880"/>
    <w:rsid w:val="008C7638"/>
    <w:rsid w:val="008D1178"/>
    <w:rsid w:val="008D20B9"/>
    <w:rsid w:val="008D5D00"/>
    <w:rsid w:val="008D76AF"/>
    <w:rsid w:val="008E274A"/>
    <w:rsid w:val="008E66B9"/>
    <w:rsid w:val="008F47EA"/>
    <w:rsid w:val="008F4F52"/>
    <w:rsid w:val="008F694E"/>
    <w:rsid w:val="00900EB1"/>
    <w:rsid w:val="00904AFD"/>
    <w:rsid w:val="00905BEE"/>
    <w:rsid w:val="0091018C"/>
    <w:rsid w:val="00910420"/>
    <w:rsid w:val="00914BCE"/>
    <w:rsid w:val="00922F33"/>
    <w:rsid w:val="00923D80"/>
    <w:rsid w:val="009323ED"/>
    <w:rsid w:val="00934F93"/>
    <w:rsid w:val="00941ECA"/>
    <w:rsid w:val="0094355C"/>
    <w:rsid w:val="00950AAE"/>
    <w:rsid w:val="009536BB"/>
    <w:rsid w:val="00954B26"/>
    <w:rsid w:val="009552E4"/>
    <w:rsid w:val="00956D57"/>
    <w:rsid w:val="00957443"/>
    <w:rsid w:val="00957814"/>
    <w:rsid w:val="009578A6"/>
    <w:rsid w:val="0096173F"/>
    <w:rsid w:val="00962606"/>
    <w:rsid w:val="00966001"/>
    <w:rsid w:val="00971744"/>
    <w:rsid w:val="00972D3A"/>
    <w:rsid w:val="00974BDD"/>
    <w:rsid w:val="009760DD"/>
    <w:rsid w:val="00976221"/>
    <w:rsid w:val="0097711A"/>
    <w:rsid w:val="009800B6"/>
    <w:rsid w:val="009821AF"/>
    <w:rsid w:val="00984AC9"/>
    <w:rsid w:val="00991118"/>
    <w:rsid w:val="009939D6"/>
    <w:rsid w:val="0099465F"/>
    <w:rsid w:val="00995DAF"/>
    <w:rsid w:val="0099713D"/>
    <w:rsid w:val="009A28D5"/>
    <w:rsid w:val="009A44A9"/>
    <w:rsid w:val="009A4F52"/>
    <w:rsid w:val="009A565D"/>
    <w:rsid w:val="009A70F7"/>
    <w:rsid w:val="009B627C"/>
    <w:rsid w:val="009B7FE4"/>
    <w:rsid w:val="009C4683"/>
    <w:rsid w:val="009C5948"/>
    <w:rsid w:val="009C6A26"/>
    <w:rsid w:val="009C7079"/>
    <w:rsid w:val="009C7AF6"/>
    <w:rsid w:val="009D3C89"/>
    <w:rsid w:val="009E5C83"/>
    <w:rsid w:val="009E78AC"/>
    <w:rsid w:val="009F000A"/>
    <w:rsid w:val="009F05F5"/>
    <w:rsid w:val="009F25FE"/>
    <w:rsid w:val="009F312C"/>
    <w:rsid w:val="00A00728"/>
    <w:rsid w:val="00A01ED9"/>
    <w:rsid w:val="00A01FAB"/>
    <w:rsid w:val="00A02985"/>
    <w:rsid w:val="00A0770C"/>
    <w:rsid w:val="00A12269"/>
    <w:rsid w:val="00A145AB"/>
    <w:rsid w:val="00A145D6"/>
    <w:rsid w:val="00A20BA8"/>
    <w:rsid w:val="00A234CC"/>
    <w:rsid w:val="00A253AF"/>
    <w:rsid w:val="00A30575"/>
    <w:rsid w:val="00A31150"/>
    <w:rsid w:val="00A323E1"/>
    <w:rsid w:val="00A328F9"/>
    <w:rsid w:val="00A34702"/>
    <w:rsid w:val="00A35C2F"/>
    <w:rsid w:val="00A36743"/>
    <w:rsid w:val="00A40C61"/>
    <w:rsid w:val="00A4186E"/>
    <w:rsid w:val="00A4579F"/>
    <w:rsid w:val="00A46877"/>
    <w:rsid w:val="00A5713B"/>
    <w:rsid w:val="00A61AAB"/>
    <w:rsid w:val="00A62686"/>
    <w:rsid w:val="00A65BF6"/>
    <w:rsid w:val="00A66B90"/>
    <w:rsid w:val="00A6727F"/>
    <w:rsid w:val="00A70404"/>
    <w:rsid w:val="00A71A15"/>
    <w:rsid w:val="00A71D6D"/>
    <w:rsid w:val="00A72042"/>
    <w:rsid w:val="00A75367"/>
    <w:rsid w:val="00A773F7"/>
    <w:rsid w:val="00A7761D"/>
    <w:rsid w:val="00A77B0A"/>
    <w:rsid w:val="00A845A4"/>
    <w:rsid w:val="00A85618"/>
    <w:rsid w:val="00A874D0"/>
    <w:rsid w:val="00A90A89"/>
    <w:rsid w:val="00A9119E"/>
    <w:rsid w:val="00A934B0"/>
    <w:rsid w:val="00A97BD1"/>
    <w:rsid w:val="00AB1E0D"/>
    <w:rsid w:val="00AB2888"/>
    <w:rsid w:val="00AB29D1"/>
    <w:rsid w:val="00AB2AC8"/>
    <w:rsid w:val="00AB3FE4"/>
    <w:rsid w:val="00AB43B2"/>
    <w:rsid w:val="00AB523B"/>
    <w:rsid w:val="00AB69AA"/>
    <w:rsid w:val="00AC021C"/>
    <w:rsid w:val="00AC2BE5"/>
    <w:rsid w:val="00AC2F43"/>
    <w:rsid w:val="00AD3FBF"/>
    <w:rsid w:val="00AD600D"/>
    <w:rsid w:val="00AD6AA3"/>
    <w:rsid w:val="00AE00A6"/>
    <w:rsid w:val="00AE4631"/>
    <w:rsid w:val="00AF07AE"/>
    <w:rsid w:val="00AF39BD"/>
    <w:rsid w:val="00AF7FA2"/>
    <w:rsid w:val="00B00A3F"/>
    <w:rsid w:val="00B01159"/>
    <w:rsid w:val="00B04695"/>
    <w:rsid w:val="00B06F46"/>
    <w:rsid w:val="00B10D7C"/>
    <w:rsid w:val="00B146B7"/>
    <w:rsid w:val="00B1589A"/>
    <w:rsid w:val="00B21D7B"/>
    <w:rsid w:val="00B2262F"/>
    <w:rsid w:val="00B23550"/>
    <w:rsid w:val="00B23870"/>
    <w:rsid w:val="00B25A0A"/>
    <w:rsid w:val="00B2669C"/>
    <w:rsid w:val="00B34E09"/>
    <w:rsid w:val="00B353E7"/>
    <w:rsid w:val="00B40291"/>
    <w:rsid w:val="00B41919"/>
    <w:rsid w:val="00B45917"/>
    <w:rsid w:val="00B5044A"/>
    <w:rsid w:val="00B507C0"/>
    <w:rsid w:val="00B52F51"/>
    <w:rsid w:val="00B55FF0"/>
    <w:rsid w:val="00B577FD"/>
    <w:rsid w:val="00B63EB9"/>
    <w:rsid w:val="00B66A71"/>
    <w:rsid w:val="00B7331B"/>
    <w:rsid w:val="00B75BD3"/>
    <w:rsid w:val="00B75F8C"/>
    <w:rsid w:val="00B7660F"/>
    <w:rsid w:val="00B82B8F"/>
    <w:rsid w:val="00B864D4"/>
    <w:rsid w:val="00B901A9"/>
    <w:rsid w:val="00B928C2"/>
    <w:rsid w:val="00B95988"/>
    <w:rsid w:val="00B95FB7"/>
    <w:rsid w:val="00BA042E"/>
    <w:rsid w:val="00BA3EC9"/>
    <w:rsid w:val="00BA467D"/>
    <w:rsid w:val="00BA6BE6"/>
    <w:rsid w:val="00BA71DC"/>
    <w:rsid w:val="00BA781B"/>
    <w:rsid w:val="00BB0E8E"/>
    <w:rsid w:val="00BB406C"/>
    <w:rsid w:val="00BB670F"/>
    <w:rsid w:val="00BB6F7F"/>
    <w:rsid w:val="00BC16EF"/>
    <w:rsid w:val="00BC29A5"/>
    <w:rsid w:val="00BC2A83"/>
    <w:rsid w:val="00BC3A49"/>
    <w:rsid w:val="00BC3ADF"/>
    <w:rsid w:val="00BC6280"/>
    <w:rsid w:val="00BC6E07"/>
    <w:rsid w:val="00BD2248"/>
    <w:rsid w:val="00BD3000"/>
    <w:rsid w:val="00BD625A"/>
    <w:rsid w:val="00BE77E2"/>
    <w:rsid w:val="00BF084C"/>
    <w:rsid w:val="00BF2256"/>
    <w:rsid w:val="00BF3CF4"/>
    <w:rsid w:val="00BF786F"/>
    <w:rsid w:val="00C05993"/>
    <w:rsid w:val="00C05D0D"/>
    <w:rsid w:val="00C10EC2"/>
    <w:rsid w:val="00C20668"/>
    <w:rsid w:val="00C20CF5"/>
    <w:rsid w:val="00C20ED2"/>
    <w:rsid w:val="00C2242B"/>
    <w:rsid w:val="00C23FE4"/>
    <w:rsid w:val="00C2421E"/>
    <w:rsid w:val="00C25375"/>
    <w:rsid w:val="00C31060"/>
    <w:rsid w:val="00C3235C"/>
    <w:rsid w:val="00C32ED3"/>
    <w:rsid w:val="00C3395F"/>
    <w:rsid w:val="00C35025"/>
    <w:rsid w:val="00C35A65"/>
    <w:rsid w:val="00C3789E"/>
    <w:rsid w:val="00C37AC5"/>
    <w:rsid w:val="00C37F60"/>
    <w:rsid w:val="00C44886"/>
    <w:rsid w:val="00C50D84"/>
    <w:rsid w:val="00C53305"/>
    <w:rsid w:val="00C54DC7"/>
    <w:rsid w:val="00C562C0"/>
    <w:rsid w:val="00C61042"/>
    <w:rsid w:val="00C6202B"/>
    <w:rsid w:val="00C66029"/>
    <w:rsid w:val="00C72292"/>
    <w:rsid w:val="00C728AF"/>
    <w:rsid w:val="00C738A5"/>
    <w:rsid w:val="00C7410E"/>
    <w:rsid w:val="00C74813"/>
    <w:rsid w:val="00C7552C"/>
    <w:rsid w:val="00C814AC"/>
    <w:rsid w:val="00C81A35"/>
    <w:rsid w:val="00C84A48"/>
    <w:rsid w:val="00C90B07"/>
    <w:rsid w:val="00C93AF5"/>
    <w:rsid w:val="00CA2A00"/>
    <w:rsid w:val="00CA4A03"/>
    <w:rsid w:val="00CA4ED0"/>
    <w:rsid w:val="00CA6953"/>
    <w:rsid w:val="00CA7825"/>
    <w:rsid w:val="00CB2091"/>
    <w:rsid w:val="00CB21A9"/>
    <w:rsid w:val="00CB40A1"/>
    <w:rsid w:val="00CC0695"/>
    <w:rsid w:val="00CC269A"/>
    <w:rsid w:val="00CC2B15"/>
    <w:rsid w:val="00CC2EEA"/>
    <w:rsid w:val="00CC32FA"/>
    <w:rsid w:val="00CC430A"/>
    <w:rsid w:val="00CC6A41"/>
    <w:rsid w:val="00CD1BB3"/>
    <w:rsid w:val="00CD1F5E"/>
    <w:rsid w:val="00CD21E8"/>
    <w:rsid w:val="00CD2DE3"/>
    <w:rsid w:val="00CD2F73"/>
    <w:rsid w:val="00CD7622"/>
    <w:rsid w:val="00CD7AC1"/>
    <w:rsid w:val="00CE006F"/>
    <w:rsid w:val="00CF0726"/>
    <w:rsid w:val="00CF19E5"/>
    <w:rsid w:val="00CF27CC"/>
    <w:rsid w:val="00CF7621"/>
    <w:rsid w:val="00CF7F3C"/>
    <w:rsid w:val="00D00104"/>
    <w:rsid w:val="00D01674"/>
    <w:rsid w:val="00D0333F"/>
    <w:rsid w:val="00D03973"/>
    <w:rsid w:val="00D07D17"/>
    <w:rsid w:val="00D07F90"/>
    <w:rsid w:val="00D07FA3"/>
    <w:rsid w:val="00D1137C"/>
    <w:rsid w:val="00D11410"/>
    <w:rsid w:val="00D11E2D"/>
    <w:rsid w:val="00D12066"/>
    <w:rsid w:val="00D1300E"/>
    <w:rsid w:val="00D1390F"/>
    <w:rsid w:val="00D16DD8"/>
    <w:rsid w:val="00D17B1B"/>
    <w:rsid w:val="00D20AC0"/>
    <w:rsid w:val="00D210CD"/>
    <w:rsid w:val="00D22F0F"/>
    <w:rsid w:val="00D2358D"/>
    <w:rsid w:val="00D27404"/>
    <w:rsid w:val="00D30229"/>
    <w:rsid w:val="00D33509"/>
    <w:rsid w:val="00D36477"/>
    <w:rsid w:val="00D36B37"/>
    <w:rsid w:val="00D36C07"/>
    <w:rsid w:val="00D36CF9"/>
    <w:rsid w:val="00D37CF1"/>
    <w:rsid w:val="00D41143"/>
    <w:rsid w:val="00D43AB8"/>
    <w:rsid w:val="00D43F56"/>
    <w:rsid w:val="00D46593"/>
    <w:rsid w:val="00D471D9"/>
    <w:rsid w:val="00D47EA9"/>
    <w:rsid w:val="00D50A59"/>
    <w:rsid w:val="00D53CAD"/>
    <w:rsid w:val="00D5523A"/>
    <w:rsid w:val="00D565C6"/>
    <w:rsid w:val="00D56A7A"/>
    <w:rsid w:val="00D570CD"/>
    <w:rsid w:val="00D6058E"/>
    <w:rsid w:val="00D60FDE"/>
    <w:rsid w:val="00D612C6"/>
    <w:rsid w:val="00D623F4"/>
    <w:rsid w:val="00D64809"/>
    <w:rsid w:val="00D64D64"/>
    <w:rsid w:val="00D71AB1"/>
    <w:rsid w:val="00D743C7"/>
    <w:rsid w:val="00D761EE"/>
    <w:rsid w:val="00D76E50"/>
    <w:rsid w:val="00D76ED1"/>
    <w:rsid w:val="00D80893"/>
    <w:rsid w:val="00D84DB2"/>
    <w:rsid w:val="00D86AE5"/>
    <w:rsid w:val="00D9390B"/>
    <w:rsid w:val="00D978A6"/>
    <w:rsid w:val="00DA19F4"/>
    <w:rsid w:val="00DA59CD"/>
    <w:rsid w:val="00DB310E"/>
    <w:rsid w:val="00DB4113"/>
    <w:rsid w:val="00DB5CA2"/>
    <w:rsid w:val="00DB6099"/>
    <w:rsid w:val="00DC1FF2"/>
    <w:rsid w:val="00DC66EC"/>
    <w:rsid w:val="00DC7CAD"/>
    <w:rsid w:val="00DC7D06"/>
    <w:rsid w:val="00DD167D"/>
    <w:rsid w:val="00DD5AFB"/>
    <w:rsid w:val="00DD697F"/>
    <w:rsid w:val="00DD7090"/>
    <w:rsid w:val="00DE01B6"/>
    <w:rsid w:val="00DE01BB"/>
    <w:rsid w:val="00DE0D09"/>
    <w:rsid w:val="00DE1C04"/>
    <w:rsid w:val="00DE29B5"/>
    <w:rsid w:val="00DE4C19"/>
    <w:rsid w:val="00DE4E5C"/>
    <w:rsid w:val="00DE51BF"/>
    <w:rsid w:val="00DE64E1"/>
    <w:rsid w:val="00DF5AED"/>
    <w:rsid w:val="00E02CC1"/>
    <w:rsid w:val="00E05F54"/>
    <w:rsid w:val="00E07D97"/>
    <w:rsid w:val="00E13396"/>
    <w:rsid w:val="00E136AA"/>
    <w:rsid w:val="00E160F5"/>
    <w:rsid w:val="00E22CCC"/>
    <w:rsid w:val="00E22F74"/>
    <w:rsid w:val="00E23E0D"/>
    <w:rsid w:val="00E2548D"/>
    <w:rsid w:val="00E26315"/>
    <w:rsid w:val="00E26A4E"/>
    <w:rsid w:val="00E27ACB"/>
    <w:rsid w:val="00E51326"/>
    <w:rsid w:val="00E54B56"/>
    <w:rsid w:val="00E55401"/>
    <w:rsid w:val="00E575E9"/>
    <w:rsid w:val="00E57A3A"/>
    <w:rsid w:val="00E60706"/>
    <w:rsid w:val="00E6283F"/>
    <w:rsid w:val="00E62912"/>
    <w:rsid w:val="00E642FD"/>
    <w:rsid w:val="00E64CE6"/>
    <w:rsid w:val="00E65362"/>
    <w:rsid w:val="00E67E07"/>
    <w:rsid w:val="00E712E8"/>
    <w:rsid w:val="00E73432"/>
    <w:rsid w:val="00E74E4F"/>
    <w:rsid w:val="00E765C8"/>
    <w:rsid w:val="00E76C26"/>
    <w:rsid w:val="00E7751B"/>
    <w:rsid w:val="00E8045D"/>
    <w:rsid w:val="00E83FF3"/>
    <w:rsid w:val="00E84E54"/>
    <w:rsid w:val="00E91CDB"/>
    <w:rsid w:val="00E95381"/>
    <w:rsid w:val="00E958E7"/>
    <w:rsid w:val="00E97919"/>
    <w:rsid w:val="00EA1DB3"/>
    <w:rsid w:val="00EA705A"/>
    <w:rsid w:val="00EB0304"/>
    <w:rsid w:val="00EB3546"/>
    <w:rsid w:val="00EB376F"/>
    <w:rsid w:val="00EB656C"/>
    <w:rsid w:val="00EC2CBB"/>
    <w:rsid w:val="00EC3B3A"/>
    <w:rsid w:val="00EC5734"/>
    <w:rsid w:val="00EC6C67"/>
    <w:rsid w:val="00EC6CD3"/>
    <w:rsid w:val="00EC781F"/>
    <w:rsid w:val="00ED1EB8"/>
    <w:rsid w:val="00ED474C"/>
    <w:rsid w:val="00ED484F"/>
    <w:rsid w:val="00ED5DAA"/>
    <w:rsid w:val="00ED6399"/>
    <w:rsid w:val="00ED6DE3"/>
    <w:rsid w:val="00EE33F2"/>
    <w:rsid w:val="00EE3B92"/>
    <w:rsid w:val="00EE4DEE"/>
    <w:rsid w:val="00EE7453"/>
    <w:rsid w:val="00EF021C"/>
    <w:rsid w:val="00EF0AB1"/>
    <w:rsid w:val="00EF2FB9"/>
    <w:rsid w:val="00EF37DF"/>
    <w:rsid w:val="00EF4C28"/>
    <w:rsid w:val="00F0061B"/>
    <w:rsid w:val="00F03E12"/>
    <w:rsid w:val="00F06200"/>
    <w:rsid w:val="00F079A0"/>
    <w:rsid w:val="00F1173D"/>
    <w:rsid w:val="00F21420"/>
    <w:rsid w:val="00F21D2A"/>
    <w:rsid w:val="00F23221"/>
    <w:rsid w:val="00F2363A"/>
    <w:rsid w:val="00F24257"/>
    <w:rsid w:val="00F254AE"/>
    <w:rsid w:val="00F26F40"/>
    <w:rsid w:val="00F31123"/>
    <w:rsid w:val="00F32825"/>
    <w:rsid w:val="00F33A18"/>
    <w:rsid w:val="00F34F26"/>
    <w:rsid w:val="00F37F4E"/>
    <w:rsid w:val="00F43D51"/>
    <w:rsid w:val="00F43E3A"/>
    <w:rsid w:val="00F44D92"/>
    <w:rsid w:val="00F458DD"/>
    <w:rsid w:val="00F50868"/>
    <w:rsid w:val="00F51342"/>
    <w:rsid w:val="00F51709"/>
    <w:rsid w:val="00F53C91"/>
    <w:rsid w:val="00F55174"/>
    <w:rsid w:val="00F55A40"/>
    <w:rsid w:val="00F56C84"/>
    <w:rsid w:val="00F658F3"/>
    <w:rsid w:val="00F72438"/>
    <w:rsid w:val="00F73BE9"/>
    <w:rsid w:val="00F756BB"/>
    <w:rsid w:val="00F75F49"/>
    <w:rsid w:val="00F774BD"/>
    <w:rsid w:val="00F77A2A"/>
    <w:rsid w:val="00F90954"/>
    <w:rsid w:val="00F9134C"/>
    <w:rsid w:val="00F92EFA"/>
    <w:rsid w:val="00F93387"/>
    <w:rsid w:val="00F9539F"/>
    <w:rsid w:val="00F96C16"/>
    <w:rsid w:val="00FA0F49"/>
    <w:rsid w:val="00FA4597"/>
    <w:rsid w:val="00FA5FC6"/>
    <w:rsid w:val="00FA6B45"/>
    <w:rsid w:val="00FB0C6E"/>
    <w:rsid w:val="00FC643A"/>
    <w:rsid w:val="00FC6FE4"/>
    <w:rsid w:val="00FD25FC"/>
    <w:rsid w:val="00FD2E3E"/>
    <w:rsid w:val="00FD41C7"/>
    <w:rsid w:val="00FD4911"/>
    <w:rsid w:val="00FD63BA"/>
    <w:rsid w:val="00FD6FF5"/>
    <w:rsid w:val="00FE1189"/>
    <w:rsid w:val="00FE15E9"/>
    <w:rsid w:val="00FE644F"/>
    <w:rsid w:val="00FE7968"/>
    <w:rsid w:val="00FF134D"/>
    <w:rsid w:val="00FF2534"/>
    <w:rsid w:val="00FF2DD8"/>
    <w:rsid w:val="00FF3A69"/>
    <w:rsid w:val="00FF3B7D"/>
    <w:rsid w:val="00FF4370"/>
    <w:rsid w:val="00F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9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23ED"/>
    <w:pPr>
      <w:spacing w:after="200" w:line="276" w:lineRule="auto"/>
    </w:pPr>
    <w:rPr>
      <w:lang w:eastAsia="en-US"/>
    </w:rPr>
  </w:style>
  <w:style w:type="paragraph" w:styleId="Heading1">
    <w:name w:val="heading 1"/>
    <w:basedOn w:val="Normal"/>
    <w:next w:val="Normal"/>
    <w:link w:val="Heading1Char"/>
    <w:qFormat/>
    <w:locked/>
    <w:rsid w:val="006974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6974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6974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6974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65"/>
    <w:pPr>
      <w:ind w:left="720"/>
      <w:contextualSpacing/>
    </w:pPr>
  </w:style>
  <w:style w:type="table" w:styleId="TableGrid">
    <w:name w:val="Table Grid"/>
    <w:basedOn w:val="TableNormal"/>
    <w:uiPriority w:val="99"/>
    <w:rsid w:val="009E5C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F58F7"/>
    <w:pPr>
      <w:tabs>
        <w:tab w:val="left" w:pos="0"/>
      </w:tabs>
      <w:suppressAutoHyphens/>
      <w:spacing w:after="0" w:line="240" w:lineRule="auto"/>
    </w:pPr>
    <w:rPr>
      <w:rFonts w:ascii="Arial" w:eastAsia="SimSun" w:hAnsi="Arial"/>
      <w:szCs w:val="24"/>
      <w:lang w:eastAsia="en-GB"/>
    </w:rPr>
  </w:style>
  <w:style w:type="character" w:customStyle="1" w:styleId="BodyText2Char">
    <w:name w:val="Body Text 2 Char"/>
    <w:basedOn w:val="DefaultParagraphFont"/>
    <w:link w:val="BodyText2"/>
    <w:uiPriority w:val="99"/>
    <w:semiHidden/>
    <w:locked/>
    <w:rsid w:val="002F58F7"/>
    <w:rPr>
      <w:rFonts w:ascii="Arial" w:eastAsia="SimSun" w:hAnsi="Arial" w:cs="Times New Roman"/>
      <w:sz w:val="24"/>
      <w:szCs w:val="24"/>
      <w:lang w:val="en-GB" w:eastAsia="en-GB" w:bidi="ar-SA"/>
    </w:rPr>
  </w:style>
  <w:style w:type="paragraph" w:styleId="NormalWeb">
    <w:name w:val="Normal (Web)"/>
    <w:basedOn w:val="Normal"/>
    <w:uiPriority w:val="99"/>
    <w:rsid w:val="00C72292"/>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77122D"/>
    <w:rPr>
      <w:rFonts w:cs="Times New Roman"/>
    </w:rPr>
  </w:style>
  <w:style w:type="paragraph" w:styleId="BalloonText">
    <w:name w:val="Balloon Text"/>
    <w:basedOn w:val="Normal"/>
    <w:link w:val="BalloonTextChar"/>
    <w:uiPriority w:val="99"/>
    <w:semiHidden/>
    <w:unhideWhenUsed/>
    <w:rsid w:val="00A41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86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122DB"/>
    <w:rPr>
      <w:sz w:val="16"/>
      <w:szCs w:val="16"/>
    </w:rPr>
  </w:style>
  <w:style w:type="paragraph" w:styleId="CommentText">
    <w:name w:val="annotation text"/>
    <w:basedOn w:val="Normal"/>
    <w:link w:val="CommentTextChar"/>
    <w:uiPriority w:val="99"/>
    <w:semiHidden/>
    <w:unhideWhenUsed/>
    <w:rsid w:val="002122DB"/>
    <w:pPr>
      <w:spacing w:line="240" w:lineRule="auto"/>
    </w:pPr>
    <w:rPr>
      <w:sz w:val="20"/>
      <w:szCs w:val="20"/>
    </w:rPr>
  </w:style>
  <w:style w:type="character" w:customStyle="1" w:styleId="CommentTextChar">
    <w:name w:val="Comment Text Char"/>
    <w:basedOn w:val="DefaultParagraphFont"/>
    <w:link w:val="CommentText"/>
    <w:uiPriority w:val="99"/>
    <w:semiHidden/>
    <w:rsid w:val="002122DB"/>
    <w:rPr>
      <w:sz w:val="20"/>
      <w:szCs w:val="20"/>
      <w:lang w:eastAsia="en-US"/>
    </w:rPr>
  </w:style>
  <w:style w:type="paragraph" w:styleId="CommentSubject">
    <w:name w:val="annotation subject"/>
    <w:basedOn w:val="CommentText"/>
    <w:next w:val="CommentText"/>
    <w:link w:val="CommentSubjectChar"/>
    <w:uiPriority w:val="99"/>
    <w:semiHidden/>
    <w:unhideWhenUsed/>
    <w:rsid w:val="002122DB"/>
    <w:rPr>
      <w:b/>
      <w:bCs/>
    </w:rPr>
  </w:style>
  <w:style w:type="character" w:customStyle="1" w:styleId="CommentSubjectChar">
    <w:name w:val="Comment Subject Char"/>
    <w:basedOn w:val="CommentTextChar"/>
    <w:link w:val="CommentSubject"/>
    <w:uiPriority w:val="99"/>
    <w:semiHidden/>
    <w:rsid w:val="002122DB"/>
    <w:rPr>
      <w:b/>
      <w:bCs/>
      <w:sz w:val="20"/>
      <w:szCs w:val="20"/>
      <w:lang w:eastAsia="en-US"/>
    </w:rPr>
  </w:style>
  <w:style w:type="paragraph" w:styleId="Bibliography">
    <w:name w:val="Bibliography"/>
    <w:basedOn w:val="Normal"/>
    <w:next w:val="Normal"/>
    <w:uiPriority w:val="37"/>
    <w:unhideWhenUsed/>
    <w:rsid w:val="00DE4C19"/>
    <w:pPr>
      <w:tabs>
        <w:tab w:val="left" w:pos="380"/>
        <w:tab w:val="left" w:pos="500"/>
      </w:tabs>
      <w:spacing w:after="240" w:line="240" w:lineRule="auto"/>
      <w:ind w:left="504" w:hanging="504"/>
    </w:pPr>
  </w:style>
  <w:style w:type="paragraph" w:styleId="Revision">
    <w:name w:val="Revision"/>
    <w:hidden/>
    <w:uiPriority w:val="99"/>
    <w:semiHidden/>
    <w:rsid w:val="006239CE"/>
    <w:rPr>
      <w:lang w:eastAsia="en-US"/>
    </w:rPr>
  </w:style>
  <w:style w:type="paragraph" w:styleId="Footer">
    <w:name w:val="footer"/>
    <w:basedOn w:val="Normal"/>
    <w:link w:val="FooterChar"/>
    <w:uiPriority w:val="99"/>
    <w:unhideWhenUsed/>
    <w:rsid w:val="0095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57"/>
    <w:rPr>
      <w:lang w:eastAsia="en-US"/>
    </w:rPr>
  </w:style>
  <w:style w:type="paragraph" w:styleId="Header">
    <w:name w:val="header"/>
    <w:basedOn w:val="Normal"/>
    <w:link w:val="HeaderChar"/>
    <w:uiPriority w:val="99"/>
    <w:unhideWhenUsed/>
    <w:rsid w:val="00D71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B1"/>
    <w:rPr>
      <w:lang w:eastAsia="en-US"/>
    </w:rPr>
  </w:style>
  <w:style w:type="character" w:styleId="Strong">
    <w:name w:val="Strong"/>
    <w:basedOn w:val="DefaultParagraphFont"/>
    <w:qFormat/>
    <w:locked/>
    <w:rsid w:val="00443579"/>
    <w:rPr>
      <w:b/>
      <w:bCs/>
    </w:rPr>
  </w:style>
  <w:style w:type="character" w:styleId="Hyperlink">
    <w:name w:val="Hyperlink"/>
    <w:basedOn w:val="DefaultParagraphFont"/>
    <w:uiPriority w:val="99"/>
    <w:unhideWhenUsed/>
    <w:rsid w:val="00AB523B"/>
    <w:rPr>
      <w:color w:val="0000FF" w:themeColor="hyperlink"/>
      <w:u w:val="single"/>
    </w:rPr>
  </w:style>
  <w:style w:type="paragraph" w:customStyle="1" w:styleId="p1">
    <w:name w:val="p1"/>
    <w:basedOn w:val="Normal"/>
    <w:rsid w:val="004E64D0"/>
    <w:pPr>
      <w:spacing w:after="0" w:line="240" w:lineRule="auto"/>
    </w:pPr>
    <w:rPr>
      <w:rFonts w:ascii="Helvetica" w:hAnsi="Helvetica"/>
      <w:sz w:val="17"/>
      <w:szCs w:val="17"/>
      <w:lang w:val="en-US"/>
    </w:rPr>
  </w:style>
  <w:style w:type="paragraph" w:customStyle="1" w:styleId="p2">
    <w:name w:val="p2"/>
    <w:basedOn w:val="Normal"/>
    <w:rsid w:val="004E64D0"/>
    <w:pPr>
      <w:spacing w:after="0" w:line="240" w:lineRule="auto"/>
    </w:pPr>
    <w:rPr>
      <w:rFonts w:ascii="Helvetica" w:hAnsi="Helvetica"/>
      <w:sz w:val="27"/>
      <w:szCs w:val="27"/>
      <w:lang w:val="en-US"/>
    </w:rPr>
  </w:style>
  <w:style w:type="paragraph" w:customStyle="1" w:styleId="p3">
    <w:name w:val="p3"/>
    <w:basedOn w:val="Normal"/>
    <w:rsid w:val="004E64D0"/>
    <w:pPr>
      <w:spacing w:after="0" w:line="240" w:lineRule="auto"/>
    </w:pPr>
    <w:rPr>
      <w:rFonts w:ascii="Helvetica" w:hAnsi="Helvetica"/>
      <w:sz w:val="11"/>
      <w:szCs w:val="11"/>
      <w:lang w:val="en-US"/>
    </w:rPr>
  </w:style>
  <w:style w:type="paragraph" w:customStyle="1" w:styleId="p4">
    <w:name w:val="p4"/>
    <w:basedOn w:val="Normal"/>
    <w:rsid w:val="004E64D0"/>
    <w:pPr>
      <w:spacing w:after="0" w:line="240" w:lineRule="auto"/>
    </w:pPr>
    <w:rPr>
      <w:rFonts w:ascii="Helvetica" w:hAnsi="Helvetica"/>
      <w:sz w:val="18"/>
      <w:szCs w:val="18"/>
      <w:lang w:val="en-US"/>
    </w:rPr>
  </w:style>
  <w:style w:type="character" w:customStyle="1" w:styleId="s1">
    <w:name w:val="s1"/>
    <w:basedOn w:val="DefaultParagraphFont"/>
    <w:rsid w:val="004E64D0"/>
    <w:rPr>
      <w:rFonts w:ascii="Helvetica" w:hAnsi="Helvetica" w:hint="default"/>
      <w:sz w:val="11"/>
      <w:szCs w:val="11"/>
    </w:rPr>
  </w:style>
  <w:style w:type="character" w:customStyle="1" w:styleId="s2">
    <w:name w:val="s2"/>
    <w:basedOn w:val="DefaultParagraphFont"/>
    <w:rsid w:val="004E64D0"/>
    <w:rPr>
      <w:rFonts w:ascii="Helvetica" w:hAnsi="Helvetica" w:hint="default"/>
      <w:sz w:val="12"/>
      <w:szCs w:val="12"/>
    </w:rPr>
  </w:style>
  <w:style w:type="character" w:styleId="Emphasis">
    <w:name w:val="Emphasis"/>
    <w:basedOn w:val="DefaultParagraphFont"/>
    <w:qFormat/>
    <w:locked/>
    <w:rsid w:val="0069744F"/>
    <w:rPr>
      <w:i/>
      <w:iCs/>
    </w:rPr>
  </w:style>
  <w:style w:type="character" w:customStyle="1" w:styleId="Heading2Char">
    <w:name w:val="Heading 2 Char"/>
    <w:basedOn w:val="DefaultParagraphFont"/>
    <w:link w:val="Heading2"/>
    <w:rsid w:val="0069744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69744F"/>
    <w:rPr>
      <w:rFonts w:asciiTheme="majorHAnsi" w:eastAsiaTheme="majorEastAsia" w:hAnsiTheme="majorHAnsi" w:cstheme="majorBidi"/>
      <w:color w:val="243F60" w:themeColor="accent1" w:themeShade="7F"/>
      <w:sz w:val="24"/>
      <w:szCs w:val="24"/>
      <w:lang w:eastAsia="en-US"/>
    </w:rPr>
  </w:style>
  <w:style w:type="character" w:customStyle="1" w:styleId="Heading1Char">
    <w:name w:val="Heading 1 Char"/>
    <w:basedOn w:val="DefaultParagraphFont"/>
    <w:link w:val="Heading1"/>
    <w:rsid w:val="0069744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69744F"/>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984">
      <w:bodyDiv w:val="1"/>
      <w:marLeft w:val="0"/>
      <w:marRight w:val="0"/>
      <w:marTop w:val="0"/>
      <w:marBottom w:val="0"/>
      <w:divBdr>
        <w:top w:val="none" w:sz="0" w:space="0" w:color="auto"/>
        <w:left w:val="none" w:sz="0" w:space="0" w:color="auto"/>
        <w:bottom w:val="none" w:sz="0" w:space="0" w:color="auto"/>
        <w:right w:val="none" w:sz="0" w:space="0" w:color="auto"/>
      </w:divBdr>
    </w:div>
    <w:div w:id="305667201">
      <w:bodyDiv w:val="1"/>
      <w:marLeft w:val="0"/>
      <w:marRight w:val="0"/>
      <w:marTop w:val="0"/>
      <w:marBottom w:val="0"/>
      <w:divBdr>
        <w:top w:val="none" w:sz="0" w:space="0" w:color="auto"/>
        <w:left w:val="none" w:sz="0" w:space="0" w:color="auto"/>
        <w:bottom w:val="none" w:sz="0" w:space="0" w:color="auto"/>
        <w:right w:val="none" w:sz="0" w:space="0" w:color="auto"/>
      </w:divBdr>
    </w:div>
    <w:div w:id="334453077">
      <w:bodyDiv w:val="1"/>
      <w:marLeft w:val="0"/>
      <w:marRight w:val="0"/>
      <w:marTop w:val="0"/>
      <w:marBottom w:val="0"/>
      <w:divBdr>
        <w:top w:val="none" w:sz="0" w:space="0" w:color="auto"/>
        <w:left w:val="none" w:sz="0" w:space="0" w:color="auto"/>
        <w:bottom w:val="none" w:sz="0" w:space="0" w:color="auto"/>
        <w:right w:val="none" w:sz="0" w:space="0" w:color="auto"/>
      </w:divBdr>
    </w:div>
    <w:div w:id="428964599">
      <w:bodyDiv w:val="1"/>
      <w:marLeft w:val="0"/>
      <w:marRight w:val="0"/>
      <w:marTop w:val="0"/>
      <w:marBottom w:val="0"/>
      <w:divBdr>
        <w:top w:val="none" w:sz="0" w:space="0" w:color="auto"/>
        <w:left w:val="none" w:sz="0" w:space="0" w:color="auto"/>
        <w:bottom w:val="none" w:sz="0" w:space="0" w:color="auto"/>
        <w:right w:val="none" w:sz="0" w:space="0" w:color="auto"/>
      </w:divBdr>
    </w:div>
    <w:div w:id="442648817">
      <w:bodyDiv w:val="1"/>
      <w:marLeft w:val="0"/>
      <w:marRight w:val="0"/>
      <w:marTop w:val="0"/>
      <w:marBottom w:val="0"/>
      <w:divBdr>
        <w:top w:val="none" w:sz="0" w:space="0" w:color="auto"/>
        <w:left w:val="none" w:sz="0" w:space="0" w:color="auto"/>
        <w:bottom w:val="none" w:sz="0" w:space="0" w:color="auto"/>
        <w:right w:val="none" w:sz="0" w:space="0" w:color="auto"/>
      </w:divBdr>
    </w:div>
    <w:div w:id="636111097">
      <w:bodyDiv w:val="1"/>
      <w:marLeft w:val="0"/>
      <w:marRight w:val="0"/>
      <w:marTop w:val="0"/>
      <w:marBottom w:val="0"/>
      <w:divBdr>
        <w:top w:val="none" w:sz="0" w:space="0" w:color="auto"/>
        <w:left w:val="none" w:sz="0" w:space="0" w:color="auto"/>
        <w:bottom w:val="none" w:sz="0" w:space="0" w:color="auto"/>
        <w:right w:val="none" w:sz="0" w:space="0" w:color="auto"/>
      </w:divBdr>
    </w:div>
    <w:div w:id="696741340">
      <w:bodyDiv w:val="1"/>
      <w:marLeft w:val="0"/>
      <w:marRight w:val="0"/>
      <w:marTop w:val="0"/>
      <w:marBottom w:val="0"/>
      <w:divBdr>
        <w:top w:val="none" w:sz="0" w:space="0" w:color="auto"/>
        <w:left w:val="none" w:sz="0" w:space="0" w:color="auto"/>
        <w:bottom w:val="none" w:sz="0" w:space="0" w:color="auto"/>
        <w:right w:val="none" w:sz="0" w:space="0" w:color="auto"/>
      </w:divBdr>
    </w:div>
    <w:div w:id="715200443">
      <w:bodyDiv w:val="1"/>
      <w:marLeft w:val="0"/>
      <w:marRight w:val="0"/>
      <w:marTop w:val="0"/>
      <w:marBottom w:val="0"/>
      <w:divBdr>
        <w:top w:val="none" w:sz="0" w:space="0" w:color="auto"/>
        <w:left w:val="none" w:sz="0" w:space="0" w:color="auto"/>
        <w:bottom w:val="none" w:sz="0" w:space="0" w:color="auto"/>
        <w:right w:val="none" w:sz="0" w:space="0" w:color="auto"/>
      </w:divBdr>
      <w:divsChild>
        <w:div w:id="873469571">
          <w:marLeft w:val="0"/>
          <w:marRight w:val="0"/>
          <w:marTop w:val="0"/>
          <w:marBottom w:val="0"/>
          <w:divBdr>
            <w:top w:val="none" w:sz="0" w:space="0" w:color="auto"/>
            <w:left w:val="none" w:sz="0" w:space="0" w:color="auto"/>
            <w:bottom w:val="none" w:sz="0" w:space="0" w:color="auto"/>
            <w:right w:val="none" w:sz="0" w:space="0" w:color="auto"/>
          </w:divBdr>
          <w:divsChild>
            <w:div w:id="164903668">
              <w:marLeft w:val="0"/>
              <w:marRight w:val="0"/>
              <w:marTop w:val="0"/>
              <w:marBottom w:val="0"/>
              <w:divBdr>
                <w:top w:val="none" w:sz="0" w:space="0" w:color="auto"/>
                <w:left w:val="none" w:sz="0" w:space="0" w:color="auto"/>
                <w:bottom w:val="none" w:sz="0" w:space="0" w:color="auto"/>
                <w:right w:val="none" w:sz="0" w:space="0" w:color="auto"/>
              </w:divBdr>
              <w:divsChild>
                <w:div w:id="13424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2289">
      <w:bodyDiv w:val="1"/>
      <w:marLeft w:val="0"/>
      <w:marRight w:val="0"/>
      <w:marTop w:val="0"/>
      <w:marBottom w:val="0"/>
      <w:divBdr>
        <w:top w:val="none" w:sz="0" w:space="0" w:color="auto"/>
        <w:left w:val="none" w:sz="0" w:space="0" w:color="auto"/>
        <w:bottom w:val="none" w:sz="0" w:space="0" w:color="auto"/>
        <w:right w:val="none" w:sz="0" w:space="0" w:color="auto"/>
      </w:divBdr>
    </w:div>
    <w:div w:id="902907636">
      <w:bodyDiv w:val="1"/>
      <w:marLeft w:val="0"/>
      <w:marRight w:val="0"/>
      <w:marTop w:val="0"/>
      <w:marBottom w:val="0"/>
      <w:divBdr>
        <w:top w:val="none" w:sz="0" w:space="0" w:color="auto"/>
        <w:left w:val="none" w:sz="0" w:space="0" w:color="auto"/>
        <w:bottom w:val="none" w:sz="0" w:space="0" w:color="auto"/>
        <w:right w:val="none" w:sz="0" w:space="0" w:color="auto"/>
      </w:divBdr>
    </w:div>
    <w:div w:id="1447429654">
      <w:bodyDiv w:val="1"/>
      <w:marLeft w:val="0"/>
      <w:marRight w:val="0"/>
      <w:marTop w:val="0"/>
      <w:marBottom w:val="0"/>
      <w:divBdr>
        <w:top w:val="none" w:sz="0" w:space="0" w:color="auto"/>
        <w:left w:val="none" w:sz="0" w:space="0" w:color="auto"/>
        <w:bottom w:val="none" w:sz="0" w:space="0" w:color="auto"/>
        <w:right w:val="none" w:sz="0" w:space="0" w:color="auto"/>
      </w:divBdr>
    </w:div>
    <w:div w:id="1449619220">
      <w:bodyDiv w:val="1"/>
      <w:marLeft w:val="0"/>
      <w:marRight w:val="0"/>
      <w:marTop w:val="0"/>
      <w:marBottom w:val="0"/>
      <w:divBdr>
        <w:top w:val="none" w:sz="0" w:space="0" w:color="auto"/>
        <w:left w:val="none" w:sz="0" w:space="0" w:color="auto"/>
        <w:bottom w:val="none" w:sz="0" w:space="0" w:color="auto"/>
        <w:right w:val="none" w:sz="0" w:space="0" w:color="auto"/>
      </w:divBdr>
    </w:div>
    <w:div w:id="1798990523">
      <w:bodyDiv w:val="1"/>
      <w:marLeft w:val="0"/>
      <w:marRight w:val="0"/>
      <w:marTop w:val="0"/>
      <w:marBottom w:val="0"/>
      <w:divBdr>
        <w:top w:val="none" w:sz="0" w:space="0" w:color="auto"/>
        <w:left w:val="none" w:sz="0" w:space="0" w:color="auto"/>
        <w:bottom w:val="none" w:sz="0" w:space="0" w:color="auto"/>
        <w:right w:val="none" w:sz="0" w:space="0" w:color="auto"/>
      </w:divBdr>
    </w:div>
    <w:div w:id="1803187590">
      <w:bodyDiv w:val="1"/>
      <w:marLeft w:val="0"/>
      <w:marRight w:val="0"/>
      <w:marTop w:val="0"/>
      <w:marBottom w:val="0"/>
      <w:divBdr>
        <w:top w:val="none" w:sz="0" w:space="0" w:color="auto"/>
        <w:left w:val="none" w:sz="0" w:space="0" w:color="auto"/>
        <w:bottom w:val="none" w:sz="0" w:space="0" w:color="auto"/>
        <w:right w:val="none" w:sz="0" w:space="0" w:color="auto"/>
      </w:divBdr>
      <w:divsChild>
        <w:div w:id="593174169">
          <w:marLeft w:val="0"/>
          <w:marRight w:val="0"/>
          <w:marTop w:val="0"/>
          <w:marBottom w:val="0"/>
          <w:divBdr>
            <w:top w:val="none" w:sz="0" w:space="0" w:color="auto"/>
            <w:left w:val="none" w:sz="0" w:space="0" w:color="auto"/>
            <w:bottom w:val="none" w:sz="0" w:space="0" w:color="auto"/>
            <w:right w:val="none" w:sz="0" w:space="0" w:color="auto"/>
          </w:divBdr>
          <w:divsChild>
            <w:div w:id="675111547">
              <w:marLeft w:val="0"/>
              <w:marRight w:val="0"/>
              <w:marTop w:val="0"/>
              <w:marBottom w:val="0"/>
              <w:divBdr>
                <w:top w:val="none" w:sz="0" w:space="0" w:color="auto"/>
                <w:left w:val="none" w:sz="0" w:space="0" w:color="auto"/>
                <w:bottom w:val="none" w:sz="0" w:space="0" w:color="auto"/>
                <w:right w:val="none" w:sz="0" w:space="0" w:color="auto"/>
              </w:divBdr>
              <w:divsChild>
                <w:div w:id="18102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68686">
      <w:bodyDiv w:val="1"/>
      <w:marLeft w:val="0"/>
      <w:marRight w:val="0"/>
      <w:marTop w:val="0"/>
      <w:marBottom w:val="0"/>
      <w:divBdr>
        <w:top w:val="none" w:sz="0" w:space="0" w:color="auto"/>
        <w:left w:val="none" w:sz="0" w:space="0" w:color="auto"/>
        <w:bottom w:val="none" w:sz="0" w:space="0" w:color="auto"/>
        <w:right w:val="none" w:sz="0" w:space="0" w:color="auto"/>
      </w:divBdr>
    </w:div>
    <w:div w:id="20417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122D87-89B7-D742-92C0-F4668F4E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4647</Words>
  <Characters>26492</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The relationship between self-reported symptoms and baseline factors up to one year  after critical illness</vt:lpstr>
    </vt:vector>
  </TitlesOfParts>
  <Manager/>
  <Company/>
  <LinksUpToDate>false</LinksUpToDate>
  <CharactersWithSpaces>31077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self-reported symptoms and baseline factors up to one year  after critical illness</dc:title>
  <dc:subject/>
  <dc:creator/>
  <cp:keywords/>
  <dc:description/>
  <cp:lastModifiedBy/>
  <cp:revision>1</cp:revision>
  <cp:lastPrinted>2017-06-12T14:51:00Z</cp:lastPrinted>
  <dcterms:created xsi:type="dcterms:W3CDTF">2017-11-01T20:14:00Z</dcterms:created>
  <dcterms:modified xsi:type="dcterms:W3CDTF">2017-11-01T20:35:00Z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zotero-version="4.0.29.23"&gt;&lt;session id="9vzPlcIT"/&gt;&lt;style id="http://www.zotero.org/styles/critical-care-medicine"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value=""/&gt;&lt;/prefs&gt;&lt;/data&gt;</vt:lpwstr>
  </property>
</Properties>
</file>