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51" w:rsidRDefault="00E75E17" w:rsidP="00321851">
      <w:pPr>
        <w:spacing w:after="0"/>
      </w:pPr>
      <w:r>
        <w:t>RADICAL</w:t>
      </w:r>
      <w:r w:rsidR="00656FDE">
        <w:t xml:space="preserve"> ORTHODOXY</w:t>
      </w:r>
    </w:p>
    <w:p w:rsidR="00321851" w:rsidRDefault="00321851" w:rsidP="00321851">
      <w:pPr>
        <w:spacing w:after="0"/>
      </w:pPr>
    </w:p>
    <w:p w:rsidR="00321851" w:rsidRDefault="00321851" w:rsidP="00321851">
      <w:pPr>
        <w:spacing w:after="0"/>
      </w:pPr>
      <w:r>
        <w:t>David Grumett</w:t>
      </w:r>
    </w:p>
    <w:p w:rsidR="00321851" w:rsidRDefault="00321851" w:rsidP="00321851">
      <w:pPr>
        <w:spacing w:after="0"/>
      </w:pPr>
      <w:r>
        <w:t>University of Exeter</w:t>
      </w:r>
    </w:p>
    <w:p w:rsidR="00872323" w:rsidRDefault="00872323" w:rsidP="00321851">
      <w:pPr>
        <w:spacing w:after="0"/>
      </w:pPr>
    </w:p>
    <w:p w:rsidR="00850925" w:rsidRDefault="00850925" w:rsidP="00321851">
      <w:pPr>
        <w:spacing w:after="0"/>
      </w:pPr>
      <w:r w:rsidRPr="00850925">
        <w:rPr>
          <w:u w:val="single"/>
        </w:rPr>
        <w:t>Abstract</w:t>
      </w:r>
    </w:p>
    <w:p w:rsidR="00826890" w:rsidRDefault="00826890" w:rsidP="00321851">
      <w:pPr>
        <w:spacing w:after="0"/>
      </w:pPr>
      <w:r>
        <w:t xml:space="preserve">The newest theological direction </w:t>
      </w:r>
      <w:r w:rsidR="00BE7749">
        <w:t xml:space="preserve">to be covered </w:t>
      </w:r>
      <w:r>
        <w:t xml:space="preserve">in this series, Radical Orthodoxy was launched in 1999 by Cambridge theologians John Milbank, Catherine </w:t>
      </w:r>
      <w:proofErr w:type="spellStart"/>
      <w:r>
        <w:t>Pickstock</w:t>
      </w:r>
      <w:proofErr w:type="spellEnd"/>
      <w:r>
        <w:t xml:space="preserve"> and Graham Ward. It sought to contest secular culture and the sidelining of theology from academic and public discourse by </w:t>
      </w:r>
      <w:r w:rsidR="00E75B4F">
        <w:t xml:space="preserve">demonstrating the insufficiency of any </w:t>
      </w:r>
      <w:r w:rsidR="00FE0893">
        <w:t>account of reality that sought to exclude</w:t>
      </w:r>
      <w:r w:rsidR="00E75B4F">
        <w:t xml:space="preserve"> </w:t>
      </w:r>
      <w:r w:rsidR="00FE0893">
        <w:t xml:space="preserve">religion or </w:t>
      </w:r>
      <w:r w:rsidR="00E75B4F">
        <w:t xml:space="preserve">theology. Key themes have included </w:t>
      </w:r>
      <w:r w:rsidR="00FE0893">
        <w:t>culture</w:t>
      </w:r>
      <w:r w:rsidR="006873B9">
        <w:t xml:space="preserve">, </w:t>
      </w:r>
      <w:r w:rsidR="007708ED">
        <w:t xml:space="preserve">participation, </w:t>
      </w:r>
      <w:r w:rsidR="006873B9">
        <w:t>gift</w:t>
      </w:r>
      <w:r w:rsidR="007708ED">
        <w:t>,</w:t>
      </w:r>
      <w:r w:rsidR="006873B9">
        <w:t xml:space="preserve"> liturgy</w:t>
      </w:r>
      <w:r w:rsidR="007708ED">
        <w:t>, erotic desire and the body</w:t>
      </w:r>
      <w:r w:rsidR="006873B9">
        <w:t>.</w:t>
      </w:r>
    </w:p>
    <w:p w:rsidR="00826890" w:rsidRDefault="00826890" w:rsidP="00321851">
      <w:pPr>
        <w:spacing w:after="0"/>
      </w:pPr>
    </w:p>
    <w:p w:rsidR="00872323" w:rsidRDefault="00872323" w:rsidP="00321851">
      <w:pPr>
        <w:spacing w:after="0"/>
      </w:pPr>
      <w:r>
        <w:t xml:space="preserve">Keywords: </w:t>
      </w:r>
      <w:r w:rsidR="00E56AC5">
        <w:t xml:space="preserve">gift; </w:t>
      </w:r>
      <w:r>
        <w:t xml:space="preserve">Milbank, John; </w:t>
      </w:r>
      <w:r w:rsidR="00E56AC5">
        <w:t xml:space="preserve">participation; </w:t>
      </w:r>
      <w:proofErr w:type="spellStart"/>
      <w:r>
        <w:t>Pickstock</w:t>
      </w:r>
      <w:proofErr w:type="spellEnd"/>
      <w:r>
        <w:t>, Catherine; Ward, Graham</w:t>
      </w:r>
    </w:p>
    <w:p w:rsidR="00321851" w:rsidRDefault="00321851" w:rsidP="00321851">
      <w:pPr>
        <w:spacing w:after="0"/>
      </w:pPr>
    </w:p>
    <w:p w:rsidR="00BA4CD0" w:rsidRDefault="00BA4CD0" w:rsidP="00321851">
      <w:pPr>
        <w:spacing w:after="0"/>
      </w:pPr>
    </w:p>
    <w:p w:rsidR="003B3433" w:rsidRDefault="00337C82" w:rsidP="00321851">
      <w:pPr>
        <w:spacing w:after="0"/>
      </w:pPr>
      <w:r>
        <w:t xml:space="preserve">In 1999, a collection of essays was published titled </w:t>
      </w:r>
      <w:r w:rsidR="00E75E17">
        <w:rPr>
          <w:i/>
        </w:rPr>
        <w:t>Radical</w:t>
      </w:r>
      <w:r w:rsidR="00656FDE">
        <w:rPr>
          <w:i/>
        </w:rPr>
        <w:t xml:space="preserve"> Orthodoxy</w:t>
      </w:r>
      <w:r w:rsidRPr="00337C82">
        <w:rPr>
          <w:i/>
        </w:rPr>
        <w:t>: A New Theology</w:t>
      </w:r>
      <w:r w:rsidR="00F8320D">
        <w:t>.</w:t>
      </w:r>
      <w:r w:rsidR="004106C8">
        <w:t xml:space="preserve"> Identifying the volume as ‘very much a Ca</w:t>
      </w:r>
      <w:r w:rsidR="00A60D99">
        <w:t>mbridge collection’</w:t>
      </w:r>
      <w:r w:rsidR="00F8320D">
        <w:t xml:space="preserve">, the editors expressed </w:t>
      </w:r>
      <w:r w:rsidR="00FE0893">
        <w:t>a</w:t>
      </w:r>
      <w:r w:rsidR="00F8320D">
        <w:t xml:space="preserve"> desire to redres</w:t>
      </w:r>
      <w:r w:rsidR="00FE0893">
        <w:t>s dominant secularist theory and</w:t>
      </w:r>
      <w:r w:rsidR="00F8320D">
        <w:t xml:space="preserve"> the associated discrediting or pri</w:t>
      </w:r>
      <w:r w:rsidR="00FE0893">
        <w:t>vatizing of theology, and to oppose</w:t>
      </w:r>
      <w:r w:rsidR="00F8320D">
        <w:t xml:space="preserve"> a ‘materialism which is soulless, aggressive, nonchalant and nihilistic’.</w:t>
      </w:r>
      <w:r w:rsidR="00F8320D">
        <w:rPr>
          <w:rStyle w:val="FootnoteReference"/>
        </w:rPr>
        <w:footnoteReference w:id="1"/>
      </w:r>
      <w:r w:rsidR="00F8320D">
        <w:t xml:space="preserve"> They wished to ‘reclaim the world by situating its concerns and activities within a the</w:t>
      </w:r>
      <w:r w:rsidR="001703B7">
        <w:t xml:space="preserve">ological framework’ by </w:t>
      </w:r>
      <w:proofErr w:type="spellStart"/>
      <w:r w:rsidR="001703B7">
        <w:t>recoloniz</w:t>
      </w:r>
      <w:r w:rsidR="00F8320D">
        <w:t>ing</w:t>
      </w:r>
      <w:proofErr w:type="spellEnd"/>
      <w:r w:rsidR="00F8320D">
        <w:t xml:space="preserve"> ‘sites in which se</w:t>
      </w:r>
      <w:r w:rsidR="001703B7">
        <w:t>cularism has invested heavily’</w:t>
      </w:r>
      <w:r w:rsidR="004E56E0">
        <w:t xml:space="preserve"> such as </w:t>
      </w:r>
      <w:r w:rsidR="00D52226">
        <w:t>aesthetics, politics, sex and the body.</w:t>
      </w:r>
    </w:p>
    <w:p w:rsidR="00872323" w:rsidRDefault="00872323" w:rsidP="00321851">
      <w:pPr>
        <w:spacing w:after="0"/>
      </w:pPr>
    </w:p>
    <w:p w:rsidR="005C557F" w:rsidRDefault="006E6778" w:rsidP="00321851">
      <w:pPr>
        <w:spacing w:after="0"/>
      </w:pPr>
      <w:r>
        <w:t xml:space="preserve">Before the 1999 launch of Radical Orthodoxy, John Milbank had published </w:t>
      </w:r>
      <w:r w:rsidRPr="008019D9">
        <w:rPr>
          <w:i/>
        </w:rPr>
        <w:t>Theology and Social Theory</w:t>
      </w:r>
      <w:r>
        <w:rPr>
          <w:i/>
        </w:rPr>
        <w:t>: Beyond Secular Reason</w:t>
      </w:r>
      <w:r>
        <w:t xml:space="preserve"> and </w:t>
      </w:r>
      <w:r w:rsidRPr="008019D9">
        <w:rPr>
          <w:i/>
        </w:rPr>
        <w:t>The Word Made Strange</w:t>
      </w:r>
      <w:r>
        <w:rPr>
          <w:i/>
        </w:rPr>
        <w:t>: Theology, Language, Culture</w:t>
      </w:r>
      <w:r>
        <w:t xml:space="preserve">. These </w:t>
      </w:r>
      <w:r w:rsidR="001703B7">
        <w:t xml:space="preserve">works </w:t>
      </w:r>
      <w:r>
        <w:t>established his credentials as a high-power critic of the secular historiography and philosophy ubiquitous in the modern university.</w:t>
      </w:r>
      <w:r w:rsidR="0043330C">
        <w:t xml:space="preserve"> That his intellectual project was from the start controversial and paradigm-shifting, taking time to find acceptance, is suggested by </w:t>
      </w:r>
      <w:r w:rsidR="001703B7">
        <w:t xml:space="preserve">Milbank’s </w:t>
      </w:r>
      <w:r w:rsidR="0043330C">
        <w:t xml:space="preserve"> non-standard academic career path.</w:t>
      </w:r>
      <w:r>
        <w:t xml:space="preserve"> He r</w:t>
      </w:r>
      <w:r w:rsidR="00721C76">
        <w:t>e</w:t>
      </w:r>
      <w:r>
        <w:t>a</w:t>
      </w:r>
      <w:r w:rsidR="00721C76">
        <w:t xml:space="preserve">d </w:t>
      </w:r>
      <w:r w:rsidR="00BB6B1A">
        <w:t>modern history</w:t>
      </w:r>
      <w:r w:rsidR="00D17823">
        <w:t xml:space="preserve"> </w:t>
      </w:r>
      <w:r w:rsidR="00721C76">
        <w:t>at Oxford</w:t>
      </w:r>
      <w:r w:rsidR="006475D9">
        <w:t>, gaining third class honours,</w:t>
      </w:r>
      <w:r w:rsidR="00721C76">
        <w:t xml:space="preserve"> </w:t>
      </w:r>
      <w:r w:rsidR="00D17823">
        <w:t xml:space="preserve">then </w:t>
      </w:r>
      <w:r w:rsidR="00BA4CD0">
        <w:t>was</w:t>
      </w:r>
      <w:r w:rsidR="006475D9">
        <w:t xml:space="preserve"> awarded</w:t>
      </w:r>
      <w:r w:rsidR="00D17823">
        <w:t xml:space="preserve"> a postgraduate certificate</w:t>
      </w:r>
      <w:r w:rsidR="00BA4CD0">
        <w:t xml:space="preserve"> in</w:t>
      </w:r>
      <w:r w:rsidR="00BA4CD0" w:rsidRPr="00BA4CD0">
        <w:t xml:space="preserve"> </w:t>
      </w:r>
      <w:r w:rsidR="00BA4CD0">
        <w:t>theology following studies at Westcott House, Cambridge</w:t>
      </w:r>
      <w:r w:rsidR="00D17823">
        <w:t>. He</w:t>
      </w:r>
      <w:r w:rsidR="00721C76">
        <w:t xml:space="preserve"> completed </w:t>
      </w:r>
      <w:r w:rsidR="00D17823">
        <w:t>a</w:t>
      </w:r>
      <w:r w:rsidR="008019D9">
        <w:t xml:space="preserve"> </w:t>
      </w:r>
      <w:r w:rsidR="00F712D0">
        <w:t>doctorate</w:t>
      </w:r>
      <w:r w:rsidR="00D17823">
        <w:t xml:space="preserve"> </w:t>
      </w:r>
      <w:r w:rsidR="002879B2">
        <w:t>at Birmingham</w:t>
      </w:r>
      <w:r w:rsidR="00721C76">
        <w:t xml:space="preserve"> </w:t>
      </w:r>
      <w:r w:rsidR="00B62EF6">
        <w:t xml:space="preserve">with </w:t>
      </w:r>
      <w:r w:rsidR="00D80FEC">
        <w:t xml:space="preserve">philosopher </w:t>
      </w:r>
      <w:r w:rsidR="00B62EF6">
        <w:t xml:space="preserve">Leon </w:t>
      </w:r>
      <w:proofErr w:type="spellStart"/>
      <w:r w:rsidR="00B62EF6">
        <w:t>Pompa</w:t>
      </w:r>
      <w:proofErr w:type="spellEnd"/>
      <w:r w:rsidR="00B62EF6">
        <w:t xml:space="preserve"> </w:t>
      </w:r>
      <w:r w:rsidR="00721C76">
        <w:t xml:space="preserve">on </w:t>
      </w:r>
      <w:r w:rsidR="002879B2">
        <w:t xml:space="preserve">the Italian humanist, rhetorician and philosophical historian </w:t>
      </w:r>
      <w:proofErr w:type="spellStart"/>
      <w:r w:rsidR="00721C76">
        <w:t>Giambattista</w:t>
      </w:r>
      <w:proofErr w:type="spellEnd"/>
      <w:r w:rsidR="00721C76">
        <w:t xml:space="preserve"> </w:t>
      </w:r>
      <w:proofErr w:type="spellStart"/>
      <w:r w:rsidR="00721C76">
        <w:t>Vico</w:t>
      </w:r>
      <w:proofErr w:type="spellEnd"/>
      <w:r w:rsidR="00B84B9C">
        <w:t>.</w:t>
      </w:r>
      <w:r w:rsidR="001703B7">
        <w:t xml:space="preserve"> </w:t>
      </w:r>
      <w:r w:rsidR="00B84B9C">
        <w:t>T</w:t>
      </w:r>
      <w:r w:rsidR="001703B7">
        <w:t xml:space="preserve">his </w:t>
      </w:r>
      <w:r w:rsidR="00B84B9C">
        <w:t xml:space="preserve">overlapped </w:t>
      </w:r>
      <w:r w:rsidR="001703B7">
        <w:t>with</w:t>
      </w:r>
      <w:r w:rsidR="009224A8">
        <w:t xml:space="preserve"> lecturing</w:t>
      </w:r>
      <w:r w:rsidR="00F712D0">
        <w:t xml:space="preserve"> at Lancaster </w:t>
      </w:r>
      <w:r w:rsidR="00B84B9C">
        <w:t xml:space="preserve">funded by the Christendom Trust, </w:t>
      </w:r>
      <w:r w:rsidR="00F712D0">
        <w:t>a charity founded by Anglo-Catholic socialist and</w:t>
      </w:r>
      <w:r w:rsidR="001703B7">
        <w:t xml:space="preserve"> philanthropist Maurice Reckitt</w:t>
      </w:r>
      <w:r w:rsidR="00F712D0">
        <w:t>.</w:t>
      </w:r>
      <w:r>
        <w:t xml:space="preserve"> </w:t>
      </w:r>
      <w:r w:rsidR="00F712D0">
        <w:t>Milbank</w:t>
      </w:r>
      <w:r>
        <w:t xml:space="preserve"> was later created </w:t>
      </w:r>
      <w:r w:rsidR="0043330C">
        <w:t>(</w:t>
      </w:r>
      <w:r>
        <w:t>honorary</w:t>
      </w:r>
      <w:r w:rsidR="0043330C">
        <w:t>)</w:t>
      </w:r>
      <w:r>
        <w:t xml:space="preserve"> Doctor of Divinity by</w:t>
      </w:r>
      <w:r w:rsidR="00B62EF6">
        <w:t xml:space="preserve"> the University of</w:t>
      </w:r>
      <w:r>
        <w:t xml:space="preserve"> Cambridge</w:t>
      </w:r>
      <w:r w:rsidR="00F712D0">
        <w:t xml:space="preserve">, </w:t>
      </w:r>
      <w:r w:rsidR="00B84B9C">
        <w:t>where he held a readership, before moving to Virginia. He</w:t>
      </w:r>
      <w:r w:rsidR="00721C76">
        <w:t xml:space="preserve"> is </w:t>
      </w:r>
      <w:r w:rsidR="00E75E17">
        <w:t>now</w:t>
      </w:r>
      <w:r w:rsidR="00721C76">
        <w:t xml:space="preserve"> Professor of Religion, Politics and Ethics at Nottin</w:t>
      </w:r>
      <w:r w:rsidR="005C557F">
        <w:t>gham.</w:t>
      </w:r>
    </w:p>
    <w:p w:rsidR="001A3094" w:rsidRDefault="00476A75" w:rsidP="001A3094">
      <w:pPr>
        <w:spacing w:after="0"/>
        <w:ind w:firstLine="720"/>
      </w:pPr>
      <w:r>
        <w:t xml:space="preserve">One of several ways into </w:t>
      </w:r>
      <w:r w:rsidR="001A3094">
        <w:t>Milbank</w:t>
      </w:r>
      <w:r>
        <w:t xml:space="preserve">’s thought is </w:t>
      </w:r>
      <w:r w:rsidR="0049374F">
        <w:t>via</w:t>
      </w:r>
      <w:r>
        <w:t xml:space="preserve"> </w:t>
      </w:r>
      <w:r w:rsidR="0049374F">
        <w:t>understanding his</w:t>
      </w:r>
      <w:r w:rsidR="001A3094">
        <w:t xml:space="preserve"> great admiration for French Jesuit Henri de </w:t>
      </w:r>
      <w:proofErr w:type="spellStart"/>
      <w:r w:rsidR="001A3094">
        <w:t>Lubac</w:t>
      </w:r>
      <w:proofErr w:type="spellEnd"/>
      <w:r w:rsidR="001A3094">
        <w:t xml:space="preserve"> and his </w:t>
      </w:r>
      <w:proofErr w:type="spellStart"/>
      <w:r w:rsidR="001A3094" w:rsidRPr="009634F4">
        <w:rPr>
          <w:i/>
        </w:rPr>
        <w:t>surnaturel</w:t>
      </w:r>
      <w:proofErr w:type="spellEnd"/>
      <w:r w:rsidR="0049374F">
        <w:t xml:space="preserve"> </w:t>
      </w:r>
      <w:r w:rsidR="003C7AEF">
        <w:t>thesis</w:t>
      </w:r>
      <w:r w:rsidR="0049374F">
        <w:t>.</w:t>
      </w:r>
      <w:r w:rsidR="00403071">
        <w:t xml:space="preserve"> </w:t>
      </w:r>
      <w:r w:rsidR="0049374F">
        <w:t>Inspired by this</w:t>
      </w:r>
      <w:r w:rsidR="003C7AEF">
        <w:t xml:space="preserve"> doctrine</w:t>
      </w:r>
      <w:r w:rsidR="0049374F">
        <w:t>, Milbank</w:t>
      </w:r>
      <w:r w:rsidR="001A3094">
        <w:t xml:space="preserve"> contests the dualistic construction of nature and grace that developed </w:t>
      </w:r>
      <w:r w:rsidR="00403071">
        <w:t>in neo-</w:t>
      </w:r>
      <w:proofErr w:type="spellStart"/>
      <w:r w:rsidR="00403071">
        <w:t>Thomist</w:t>
      </w:r>
      <w:proofErr w:type="spellEnd"/>
      <w:r w:rsidR="00403071">
        <w:t xml:space="preserve"> theology. Rather than</w:t>
      </w:r>
      <w:r w:rsidR="0049374F">
        <w:t xml:space="preserve"> </w:t>
      </w:r>
      <w:r w:rsidR="00403071">
        <w:t>nature existing</w:t>
      </w:r>
      <w:r w:rsidR="0049374F">
        <w:t xml:space="preserve"> in a pure state</w:t>
      </w:r>
      <w:r w:rsidR="001A3094">
        <w:t xml:space="preserve"> independen</w:t>
      </w:r>
      <w:r w:rsidR="0049374F">
        <w:t>tly of divine grace and action—</w:t>
      </w:r>
      <w:r w:rsidR="001A3094">
        <w:t>which are granted only to a distinct ecclesi</w:t>
      </w:r>
      <w:r w:rsidR="00403071">
        <w:t>al and ‘spiritual’ realm</w:t>
      </w:r>
      <w:r w:rsidR="003C7AEF">
        <w:t>—d</w:t>
      </w:r>
      <w:r w:rsidR="0049374F">
        <w:t>e</w:t>
      </w:r>
      <w:r w:rsidR="003C7AEF">
        <w:t xml:space="preserve"> </w:t>
      </w:r>
      <w:proofErr w:type="spellStart"/>
      <w:r w:rsidR="003C7AEF">
        <w:t>Lubac</w:t>
      </w:r>
      <w:proofErr w:type="spellEnd"/>
      <w:r w:rsidR="0049374F">
        <w:t xml:space="preserve"> sees </w:t>
      </w:r>
      <w:r w:rsidR="001A3094">
        <w:t xml:space="preserve">the whole of nature </w:t>
      </w:r>
      <w:r w:rsidR="0049374F">
        <w:t>as dependent</w:t>
      </w:r>
      <w:r w:rsidR="001A3094">
        <w:t xml:space="preserve"> on divine action, which suffuses and sustains it. This dependence is founded on a primordial relation </w:t>
      </w:r>
      <w:r w:rsidR="0049374F">
        <w:t>between</w:t>
      </w:r>
      <w:r w:rsidR="001A3094">
        <w:t xml:space="preserve"> </w:t>
      </w:r>
      <w:r w:rsidR="001A3094">
        <w:lastRenderedPageBreak/>
        <w:t>God and nature established at creation</w:t>
      </w:r>
      <w:r w:rsidR="008F1CC9">
        <w:t xml:space="preserve">, which </w:t>
      </w:r>
      <w:r w:rsidR="003C7AEF">
        <w:t>founds</w:t>
      </w:r>
      <w:r w:rsidR="008F1CC9">
        <w:t xml:space="preserve"> a ‘natural desire’ for God in creation. Milbank concludes his study of de </w:t>
      </w:r>
      <w:proofErr w:type="spellStart"/>
      <w:r w:rsidR="008F1CC9">
        <w:t>Lubac</w:t>
      </w:r>
      <w:proofErr w:type="spellEnd"/>
      <w:r w:rsidR="0049374F">
        <w:t xml:space="preserve"> </w:t>
      </w:r>
      <w:r w:rsidR="003C7AEF">
        <w:t xml:space="preserve">by </w:t>
      </w:r>
      <w:r w:rsidR="0049374F">
        <w:t>noting the wide implications of this vision for theology today, which</w:t>
      </w:r>
    </w:p>
    <w:p w:rsidR="008F1CC9" w:rsidRDefault="008F1CC9" w:rsidP="001A3094">
      <w:pPr>
        <w:spacing w:after="0"/>
        <w:ind w:firstLine="720"/>
      </w:pPr>
    </w:p>
    <w:p w:rsidR="008F1CC9" w:rsidRDefault="008F1CC9" w:rsidP="008F1CC9">
      <w:pPr>
        <w:spacing w:after="0"/>
        <w:ind w:left="720"/>
      </w:pPr>
      <w:r>
        <w:t>needs to recover the authen</w:t>
      </w:r>
      <w:r w:rsidR="00403071">
        <w:t>t</w:t>
      </w:r>
      <w:r>
        <w:t xml:space="preserve">ic and more radical account of the natural desire for the supernatural as offered by de </w:t>
      </w:r>
      <w:proofErr w:type="spellStart"/>
      <w:r>
        <w:t>Lubac</w:t>
      </w:r>
      <w:proofErr w:type="spellEnd"/>
      <w:r>
        <w:t>…. This account is articulated in terms of spirit always oriented to grace, gift without contrast, the cosmos as lured by grace through humanity, unilateral exchange, and the link of grace with art.</w:t>
      </w:r>
      <w:r>
        <w:rPr>
          <w:rStyle w:val="FootnoteReference"/>
        </w:rPr>
        <w:footnoteReference w:id="2"/>
      </w:r>
    </w:p>
    <w:p w:rsidR="00403071" w:rsidRDefault="00403071" w:rsidP="008F1CC9">
      <w:pPr>
        <w:spacing w:after="0"/>
        <w:ind w:left="720"/>
      </w:pPr>
    </w:p>
    <w:p w:rsidR="008F1CC9" w:rsidRDefault="00403071" w:rsidP="008F1CC9">
      <w:pPr>
        <w:spacing w:after="0"/>
      </w:pPr>
      <w:r>
        <w:t xml:space="preserve">Milbank thus draws from de </w:t>
      </w:r>
      <w:proofErr w:type="spellStart"/>
      <w:r>
        <w:t>Lubac</w:t>
      </w:r>
      <w:proofErr w:type="spellEnd"/>
      <w:r>
        <w:t xml:space="preserve"> the idea of gift</w:t>
      </w:r>
      <w:r w:rsidR="002E33C3">
        <w:t xml:space="preserve">—a donation </w:t>
      </w:r>
      <w:r w:rsidR="0049374F">
        <w:t>far exceeding</w:t>
      </w:r>
      <w:r w:rsidR="002E33C3">
        <w:t xml:space="preserve"> notions of entitlement </w:t>
      </w:r>
      <w:r w:rsidR="0049374F">
        <w:t>by</w:t>
      </w:r>
      <w:r w:rsidR="002E33C3">
        <w:t xml:space="preserve"> the recipient or obligation </w:t>
      </w:r>
      <w:r w:rsidR="0049374F">
        <w:t xml:space="preserve">by </w:t>
      </w:r>
      <w:r w:rsidR="002E33C3">
        <w:t>the giver.</w:t>
      </w:r>
      <w:r w:rsidR="0049374F">
        <w:rPr>
          <w:rStyle w:val="FootnoteReference"/>
        </w:rPr>
        <w:footnoteReference w:id="3"/>
      </w:r>
      <w:r w:rsidR="002E33C3">
        <w:t xml:space="preserve"> The true gift is</w:t>
      </w:r>
      <w:r w:rsidR="007C0862">
        <w:t xml:space="preserve"> without</w:t>
      </w:r>
      <w:r w:rsidR="002E33C3">
        <w:t xml:space="preserve"> contrast either to giver or recipient, proceed</w:t>
      </w:r>
      <w:r w:rsidR="007C0862">
        <w:t xml:space="preserve">ing </w:t>
      </w:r>
      <w:r w:rsidR="002E33C3">
        <w:t xml:space="preserve">from giver </w:t>
      </w:r>
      <w:r w:rsidR="007C0862">
        <w:t>to</w:t>
      </w:r>
      <w:r w:rsidR="002E33C3">
        <w:t xml:space="preserve"> recipient</w:t>
      </w:r>
      <w:r w:rsidR="0049374F">
        <w:t xml:space="preserve"> such that</w:t>
      </w:r>
      <w:r w:rsidR="007C0862">
        <w:t xml:space="preserve"> the recipient also </w:t>
      </w:r>
      <w:r w:rsidR="005D7C66">
        <w:t xml:space="preserve">becomes </w:t>
      </w:r>
      <w:r w:rsidR="007C0862">
        <w:t>a giver of unobligated gratitude</w:t>
      </w:r>
      <w:r w:rsidR="005D7C66">
        <w:t xml:space="preserve"> in a circulating economy of gift and grace</w:t>
      </w:r>
      <w:r w:rsidR="002E33C3">
        <w:t>.</w:t>
      </w:r>
    </w:p>
    <w:p w:rsidR="00CF009D" w:rsidRDefault="003D1EAC" w:rsidP="001A3094">
      <w:pPr>
        <w:spacing w:after="0"/>
        <w:ind w:firstLine="720"/>
      </w:pPr>
      <w:r>
        <w:t xml:space="preserve">In </w:t>
      </w:r>
      <w:r w:rsidRPr="003D1EAC">
        <w:rPr>
          <w:i/>
        </w:rPr>
        <w:t>Being Reconciled</w:t>
      </w:r>
      <w:r>
        <w:t>, Milbank offers a series of reflectio</w:t>
      </w:r>
      <w:r w:rsidR="00AC12FF">
        <w:t>ns on classic theological topics</w:t>
      </w:r>
      <w:r>
        <w:t xml:space="preserve"> inspired b</w:t>
      </w:r>
      <w:r w:rsidR="00403071">
        <w:t>y this</w:t>
      </w:r>
      <w:r>
        <w:t xml:space="preserve"> idea. Opening with evil, he </w:t>
      </w:r>
      <w:r w:rsidR="003C7AEF">
        <w:t>argues that</w:t>
      </w:r>
      <w:r>
        <w:t xml:space="preserve"> </w:t>
      </w:r>
      <w:r w:rsidR="005D7C66">
        <w:t>it</w:t>
      </w:r>
      <w:r>
        <w:t xml:space="preserve"> can only be understood as a privation of goodness. </w:t>
      </w:r>
      <w:r w:rsidR="00494A2D">
        <w:t xml:space="preserve">As Augustine shows, the free will needed to act </w:t>
      </w:r>
      <w:r w:rsidR="005D7C66">
        <w:t>well</w:t>
      </w:r>
      <w:r w:rsidR="00494A2D">
        <w:t xml:space="preserve"> depends on the gift of grace, and is very different from Kant’s view of freedom as absolute</w:t>
      </w:r>
      <w:r w:rsidR="005D7C66">
        <w:t xml:space="preserve"> autonomy, which in modern liberal society </w:t>
      </w:r>
      <w:r w:rsidR="00494A2D">
        <w:t xml:space="preserve">is the </w:t>
      </w:r>
      <w:r w:rsidR="005D7C66">
        <w:t>root</w:t>
      </w:r>
      <w:r w:rsidR="00494A2D">
        <w:t xml:space="preserve"> of tremendous evil.</w:t>
      </w:r>
      <w:r w:rsidR="00950177">
        <w:t xml:space="preserve"> </w:t>
      </w:r>
      <w:r w:rsidR="009C6771">
        <w:t xml:space="preserve">In particular, </w:t>
      </w:r>
      <w:proofErr w:type="spellStart"/>
      <w:r w:rsidR="00CE60E6">
        <w:t>spectating</w:t>
      </w:r>
      <w:proofErr w:type="spellEnd"/>
      <w:r w:rsidR="00CE60E6">
        <w:t xml:space="preserve"> on</w:t>
      </w:r>
      <w:r w:rsidR="009C6771">
        <w:t xml:space="preserve"> violence </w:t>
      </w:r>
      <w:r w:rsidR="005D7C66">
        <w:t xml:space="preserve">without stepping in to prevent it </w:t>
      </w:r>
      <w:r w:rsidR="009C6771">
        <w:t xml:space="preserve">is </w:t>
      </w:r>
      <w:r w:rsidR="00CE60E6">
        <w:t>‘</w:t>
      </w:r>
      <w:r w:rsidR="009C6771">
        <w:t xml:space="preserve">actually </w:t>
      </w:r>
      <w:r w:rsidR="009C6771" w:rsidRPr="009C6771">
        <w:rPr>
          <w:i/>
        </w:rPr>
        <w:t>more violent</w:t>
      </w:r>
      <w:r w:rsidR="009C6771">
        <w:t xml:space="preserve"> than participating in violence’.</w:t>
      </w:r>
      <w:r w:rsidR="009C6771">
        <w:rPr>
          <w:rStyle w:val="FootnoteReference"/>
        </w:rPr>
        <w:footnoteReference w:id="4"/>
      </w:r>
      <w:r w:rsidR="00CE60E6">
        <w:t xml:space="preserve"> To </w:t>
      </w:r>
      <w:r w:rsidR="009B07AD">
        <w:t>gaze</w:t>
      </w:r>
      <w:r w:rsidR="00CE60E6">
        <w:t xml:space="preserve"> on violence </w:t>
      </w:r>
      <w:r w:rsidR="009B07AD">
        <w:t>unmoved objectifies</w:t>
      </w:r>
      <w:r w:rsidR="00C759D4">
        <w:t xml:space="preserve"> a fellow</w:t>
      </w:r>
      <w:r w:rsidR="009B07AD">
        <w:t xml:space="preserve"> human, whereas one’s own violence might flow from</w:t>
      </w:r>
      <w:r w:rsidR="007B0F43">
        <w:t xml:space="preserve"> real</w:t>
      </w:r>
      <w:r w:rsidR="009B07AD">
        <w:t xml:space="preserve"> belief</w:t>
      </w:r>
      <w:r w:rsidR="005D7C66">
        <w:t xml:space="preserve"> and so be ultimately a force for good</w:t>
      </w:r>
      <w:r w:rsidR="007B0F43">
        <w:t>.</w:t>
      </w:r>
    </w:p>
    <w:p w:rsidR="008019D9" w:rsidRDefault="00D64B6E" w:rsidP="00CF009D">
      <w:pPr>
        <w:spacing w:after="0"/>
        <w:ind w:firstLine="720"/>
      </w:pPr>
      <w:r>
        <w:t>Forgiveness</w:t>
      </w:r>
      <w:r w:rsidR="007B0F43">
        <w:t xml:space="preserve"> </w:t>
      </w:r>
      <w:r>
        <w:t>reveals that closely</w:t>
      </w:r>
      <w:r w:rsidR="007B0F43">
        <w:t xml:space="preserve"> bound up with </w:t>
      </w:r>
      <w:r>
        <w:t>the idea</w:t>
      </w:r>
      <w:r w:rsidR="007B0F43">
        <w:t xml:space="preserve"> of gift</w:t>
      </w:r>
      <w:r>
        <w:t xml:space="preserve"> is that of exchange. </w:t>
      </w:r>
      <w:r w:rsidR="0027589F">
        <w:t>Obtaining f</w:t>
      </w:r>
      <w:r>
        <w:t xml:space="preserve">orgiveness </w:t>
      </w:r>
      <w:r w:rsidR="0027589F">
        <w:t>for past acts is</w:t>
      </w:r>
      <w:r w:rsidR="003C7AEF">
        <w:t>, however,</w:t>
      </w:r>
      <w:r w:rsidR="0027589F">
        <w:t xml:space="preserve"> frequently impossible</w:t>
      </w:r>
      <w:r>
        <w:t xml:space="preserve">: annihilated victims </w:t>
      </w:r>
      <w:r w:rsidR="005D7C66">
        <w:t>are unable to</w:t>
      </w:r>
      <w:r>
        <w:t xml:space="preserve"> forgive, a sovereign power cannot forgive on their behalf, and memories fade.</w:t>
      </w:r>
      <w:r w:rsidR="005D7C66">
        <w:t xml:space="preserve"> Forgiveness</w:t>
      </w:r>
      <w:r w:rsidR="00FB3292">
        <w:t xml:space="preserve"> can only be found in </w:t>
      </w:r>
      <w:r w:rsidR="005D7C66">
        <w:t xml:space="preserve">a </w:t>
      </w:r>
      <w:r w:rsidR="00FB3292">
        <w:t>wider context of ‘unlimited positive circulation’ through participation in eschatological finality.</w:t>
      </w:r>
      <w:r w:rsidR="0059036E">
        <w:rPr>
          <w:rStyle w:val="FootnoteReference"/>
        </w:rPr>
        <w:footnoteReference w:id="5"/>
      </w:r>
      <w:r w:rsidR="00CF009D">
        <w:t xml:space="preserve"> Ultimately, the source of all true forgiveness</w:t>
      </w:r>
      <w:r w:rsidR="005D7C66" w:rsidRPr="005D7C66">
        <w:t xml:space="preserve"> </w:t>
      </w:r>
      <w:r w:rsidR="005D7C66">
        <w:t>is Christ as sovereign victim, with the importance of the incarnation being that it mak</w:t>
      </w:r>
      <w:r w:rsidR="00CF009D">
        <w:t>e</w:t>
      </w:r>
      <w:r w:rsidR="005D7C66">
        <w:t>s</w:t>
      </w:r>
      <w:r w:rsidR="00CF009D">
        <w:t xml:space="preserve"> possible</w:t>
      </w:r>
      <w:r w:rsidR="005D7C66">
        <w:t xml:space="preserve"> this forgiveness</w:t>
      </w:r>
      <w:r w:rsidR="00CF009D">
        <w:t>.</w:t>
      </w:r>
      <w:r w:rsidR="00D17082">
        <w:t xml:space="preserve"> The crucifixion confirms this exceptional status of Christ, who on Milbank’s reading of the Gospel narratives was condemned by neither the Jewish nor the Roman authorities but was nevertheless killed.</w:t>
      </w:r>
    </w:p>
    <w:p w:rsidR="00CF009D" w:rsidRDefault="009A4EFB" w:rsidP="001B6438">
      <w:pPr>
        <w:spacing w:after="0"/>
        <w:ind w:firstLine="720"/>
      </w:pPr>
      <w:r>
        <w:t xml:space="preserve">In </w:t>
      </w:r>
      <w:r w:rsidR="003C7AEF">
        <w:t>the</w:t>
      </w:r>
      <w:r>
        <w:t xml:space="preserve"> chapter on ecclesiology, Milbank develops his analysis of participation, embracing its classic understanding as a hi</w:t>
      </w:r>
      <w:r w:rsidR="005D7C66">
        <w:t>erarchical principle of order</w:t>
      </w:r>
      <w:r>
        <w:t xml:space="preserve"> </w:t>
      </w:r>
      <w:r w:rsidR="003C7AEF">
        <w:t>that</w:t>
      </w:r>
      <w:r>
        <w:t xml:space="preserve"> </w:t>
      </w:r>
      <w:r w:rsidR="005D7C66">
        <w:t xml:space="preserve">assigns </w:t>
      </w:r>
      <w:r>
        <w:t xml:space="preserve">all beings </w:t>
      </w:r>
      <w:r w:rsidR="005D7C66">
        <w:t>their place in a divinely-governed cosmos. This</w:t>
      </w:r>
      <w:r>
        <w:t xml:space="preserve"> introduces a complementary principle of the relatedness of all distinct beings in and through God, </w:t>
      </w:r>
      <w:r w:rsidR="000F593B">
        <w:t>which is realised fully in the C</w:t>
      </w:r>
      <w:r>
        <w:t xml:space="preserve">hurch’s Trinitarian life. </w:t>
      </w:r>
      <w:r w:rsidR="000F593B">
        <w:t xml:space="preserve">But how can the Church function as an ethical community? </w:t>
      </w:r>
      <w:r w:rsidR="005D7C66">
        <w:t>Through grace, which</w:t>
      </w:r>
      <w:r w:rsidR="000F593B">
        <w:t xml:space="preserve"> is understood in terms of ‘moral luck’</w:t>
      </w:r>
      <w:r w:rsidR="00161797">
        <w:t>. H</w:t>
      </w:r>
      <w:r w:rsidR="00B5101D">
        <w:t xml:space="preserve">appiness </w:t>
      </w:r>
      <w:r w:rsidR="00161797">
        <w:t xml:space="preserve">is </w:t>
      </w:r>
      <w:r w:rsidR="00B5101D">
        <w:t>subject to many vagaries</w:t>
      </w:r>
      <w:r w:rsidR="003C7AEF">
        <w:t>,</w:t>
      </w:r>
      <w:r w:rsidR="00B5101D">
        <w:t xml:space="preserve"> and the consequences of even well-intended actions </w:t>
      </w:r>
      <w:r w:rsidR="00161797">
        <w:t xml:space="preserve">are </w:t>
      </w:r>
      <w:r w:rsidR="00B5101D">
        <w:t>unpredictable</w:t>
      </w:r>
      <w:r w:rsidR="00161797">
        <w:t>: there is no simple correspondence between acting well and flourishing</w:t>
      </w:r>
      <w:r w:rsidR="00B5101D">
        <w:t>.</w:t>
      </w:r>
      <w:r w:rsidR="008F2E8B">
        <w:t xml:space="preserve"> The ethical, this suggests, </w:t>
      </w:r>
      <w:r w:rsidR="00161797">
        <w:t xml:space="preserve">is </w:t>
      </w:r>
      <w:r w:rsidR="008F2E8B">
        <w:t>a true gift-exchange, which is as such asymmetrical and non-identically repeated.</w:t>
      </w:r>
      <w:r w:rsidR="00831051">
        <w:t xml:space="preserve"> Milbank </w:t>
      </w:r>
      <w:r w:rsidR="00161797">
        <w:t>pleads that</w:t>
      </w:r>
      <w:r w:rsidR="00831051">
        <w:t xml:space="preserve"> this socialist ethos</w:t>
      </w:r>
      <w:r w:rsidR="00161797">
        <w:t xml:space="preserve"> be permitted</w:t>
      </w:r>
      <w:r w:rsidR="00831051">
        <w:t xml:space="preserve"> to permeate capitalist society, with exchange </w:t>
      </w:r>
      <w:proofErr w:type="spellStart"/>
      <w:r w:rsidR="00831051">
        <w:t>reconstrued</w:t>
      </w:r>
      <w:proofErr w:type="spellEnd"/>
      <w:r w:rsidR="00831051">
        <w:t xml:space="preserve"> ‘according to the protocols of a universal gift-exchange’</w:t>
      </w:r>
      <w:r w:rsidR="00D46DC8">
        <w:t xml:space="preserve"> founded on vocation </w:t>
      </w:r>
      <w:r w:rsidR="00D46DC8">
        <w:lastRenderedPageBreak/>
        <w:t>and profession</w:t>
      </w:r>
      <w:r w:rsidR="00831051">
        <w:t>.</w:t>
      </w:r>
      <w:r w:rsidR="00831051">
        <w:rPr>
          <w:rStyle w:val="FootnoteReference"/>
        </w:rPr>
        <w:footnoteReference w:id="6"/>
      </w:r>
      <w:r w:rsidR="0014100C">
        <w:t xml:space="preserve"> He views </w:t>
      </w:r>
      <w:r w:rsidR="00161797">
        <w:t>exchange</w:t>
      </w:r>
      <w:r w:rsidR="0014100C">
        <w:t xml:space="preserve">, finally, as folded into a ‘culture of affinity’. In </w:t>
      </w:r>
      <w:proofErr w:type="spellStart"/>
      <w:r w:rsidR="0014100C">
        <w:t>postmodernity</w:t>
      </w:r>
      <w:proofErr w:type="spellEnd"/>
      <w:r w:rsidR="0014100C">
        <w:t>, traditional social boundaries are obliterated, and likewise Christianity, Milbank, contends, is the ‘religion of the obliteration of boundaries’.</w:t>
      </w:r>
      <w:r w:rsidR="0014100C">
        <w:rPr>
          <w:rStyle w:val="FootnoteReference"/>
        </w:rPr>
        <w:footnoteReference w:id="7"/>
      </w:r>
      <w:r w:rsidR="0014100C">
        <w:t xml:space="preserve"> </w:t>
      </w:r>
      <w:r w:rsidR="006E4A2B">
        <w:t xml:space="preserve">Yet whereas </w:t>
      </w:r>
      <w:r w:rsidR="003C7AEF">
        <w:t xml:space="preserve">the response of </w:t>
      </w:r>
      <w:r w:rsidR="006E4A2B">
        <w:t xml:space="preserve">secular politics </w:t>
      </w:r>
      <w:r w:rsidR="003C7AEF">
        <w:t>is</w:t>
      </w:r>
      <w:r w:rsidR="006E4A2B">
        <w:t xml:space="preserve"> ‘formal, arbitrary and oppressive control of the flux by a sovereign empire’, </w:t>
      </w:r>
      <w:r w:rsidR="00161797">
        <w:t>Christianity</w:t>
      </w:r>
      <w:r w:rsidR="009F1583">
        <w:t xml:space="preserve"> offer</w:t>
      </w:r>
      <w:r w:rsidR="008D7AF5">
        <w:t>s bodily reconciliation.</w:t>
      </w:r>
    </w:p>
    <w:p w:rsidR="001B6438" w:rsidRDefault="00781FF5" w:rsidP="00882F88">
      <w:pPr>
        <w:spacing w:after="0"/>
        <w:ind w:firstLine="720"/>
      </w:pPr>
      <w:r>
        <w:t>In a reply</w:t>
      </w:r>
      <w:r w:rsidR="00B40654">
        <w:t xml:space="preserve"> to critics in </w:t>
      </w:r>
      <w:r w:rsidR="00B40654" w:rsidRPr="00B40654">
        <w:rPr>
          <w:i/>
        </w:rPr>
        <w:t>The</w:t>
      </w:r>
      <w:r w:rsidR="00B40654">
        <w:t xml:space="preserve"> </w:t>
      </w:r>
      <w:r w:rsidR="001B6438" w:rsidRPr="004E112E">
        <w:rPr>
          <w:i/>
        </w:rPr>
        <w:t>Future of Love</w:t>
      </w:r>
      <w:r w:rsidR="00B40654">
        <w:t>, Mil</w:t>
      </w:r>
      <w:r w:rsidR="00161797">
        <w:t>bank defends his historiography</w:t>
      </w:r>
      <w:r w:rsidR="00B40654">
        <w:t xml:space="preserve"> of Christian polity against the charge that it is idealised</w:t>
      </w:r>
      <w:r w:rsidR="001B6438">
        <w:t>.</w:t>
      </w:r>
      <w:r w:rsidR="00B40654">
        <w:t xml:space="preserve"> He discusses the truly remarkable nature of Christian hospitals, almshouses, orphanages</w:t>
      </w:r>
      <w:r w:rsidR="00084233">
        <w:t xml:space="preserve"> and schools, which a</w:t>
      </w:r>
      <w:r w:rsidR="00161797">
        <w:t>rose not simply in response to social</w:t>
      </w:r>
      <w:r w:rsidR="00084233">
        <w:t xml:space="preserve"> need but because, for the first time in history, </w:t>
      </w:r>
      <w:r w:rsidR="00161797">
        <w:t>that</w:t>
      </w:r>
      <w:r w:rsidR="00084233">
        <w:t xml:space="preserve"> need was recognized within a particular religious framework. More</w:t>
      </w:r>
      <w:r w:rsidR="00161797">
        <w:t>over, charity was not merely an</w:t>
      </w:r>
      <w:r w:rsidR="00084233">
        <w:t xml:space="preserve"> </w:t>
      </w:r>
      <w:r w:rsidR="00084233" w:rsidRPr="00084233">
        <w:rPr>
          <w:i/>
        </w:rPr>
        <w:t>ad hoc</w:t>
      </w:r>
      <w:r w:rsidR="00084233">
        <w:t xml:space="preserve"> alleviation of need, but the ‘forging or restoring of bonds of mutuality between donor and recipient’</w:t>
      </w:r>
      <w:r w:rsidR="004E62F5">
        <w:t>, which included festive and ritual dimensions</w:t>
      </w:r>
      <w:r w:rsidR="00084233">
        <w:t>.</w:t>
      </w:r>
      <w:r w:rsidR="00084233">
        <w:rPr>
          <w:rStyle w:val="FootnoteReference"/>
        </w:rPr>
        <w:footnoteReference w:id="8"/>
      </w:r>
      <w:r w:rsidR="003B0A42">
        <w:t xml:space="preserve"> This vision of Christian </w:t>
      </w:r>
      <w:r w:rsidR="003B0A42" w:rsidRPr="003B0A42">
        <w:rPr>
          <w:i/>
        </w:rPr>
        <w:t>caritas</w:t>
      </w:r>
      <w:r w:rsidR="003B0A42">
        <w:t xml:space="preserve"> is threatened by modern liberalism, </w:t>
      </w:r>
      <w:r w:rsidR="00161797">
        <w:t xml:space="preserve">in which individual freedom trumps </w:t>
      </w:r>
      <w:r w:rsidR="00BB460D">
        <w:t xml:space="preserve">personal </w:t>
      </w:r>
      <w:r w:rsidR="00161797">
        <w:t xml:space="preserve">relationality, </w:t>
      </w:r>
      <w:r w:rsidR="003B0A42">
        <w:t>although can still erupt to transform and redeem relationships</w:t>
      </w:r>
      <w:r w:rsidR="00EE415B">
        <w:t xml:space="preserve"> distorted by capitalism</w:t>
      </w:r>
      <w:r w:rsidR="003B0A42">
        <w:t>.</w:t>
      </w:r>
      <w:r w:rsidR="003B0A42">
        <w:rPr>
          <w:rStyle w:val="FootnoteReference"/>
        </w:rPr>
        <w:footnoteReference w:id="9"/>
      </w:r>
    </w:p>
    <w:p w:rsidR="00D24216" w:rsidRDefault="008B4862" w:rsidP="00882F88">
      <w:pPr>
        <w:spacing w:after="0"/>
        <w:ind w:firstLine="720"/>
      </w:pPr>
      <w:r>
        <w:t xml:space="preserve">This discussion of Milbank’s work opened with de </w:t>
      </w:r>
      <w:proofErr w:type="spellStart"/>
      <w:r>
        <w:t>Lubac</w:t>
      </w:r>
      <w:proofErr w:type="spellEnd"/>
      <w:r>
        <w:t xml:space="preserve">. In his recent debate with Slovenian philosopher </w:t>
      </w:r>
      <w:proofErr w:type="spellStart"/>
      <w:r w:rsidR="00D24216">
        <w:t>Slavoj</w:t>
      </w:r>
      <w:proofErr w:type="spellEnd"/>
      <w:r w:rsidR="00D24216">
        <w:t xml:space="preserve"> </w:t>
      </w:r>
      <w:proofErr w:type="spellStart"/>
      <w:r w:rsidR="00D24216">
        <w:t>Žižek</w:t>
      </w:r>
      <w:proofErr w:type="spellEnd"/>
      <w:r w:rsidR="00BB460D">
        <w:t>, Milbank</w:t>
      </w:r>
      <w:r>
        <w:t xml:space="preserve"> returns to </w:t>
      </w:r>
      <w:r w:rsidR="00C06322">
        <w:t xml:space="preserve">themes from </w:t>
      </w:r>
      <w:r>
        <w:t xml:space="preserve">de </w:t>
      </w:r>
      <w:proofErr w:type="spellStart"/>
      <w:r>
        <w:t>Lubac</w:t>
      </w:r>
      <w:proofErr w:type="spellEnd"/>
      <w:r>
        <w:t xml:space="preserve"> but with significant iteration</w:t>
      </w:r>
      <w:r w:rsidR="00D24216">
        <w:t>.</w:t>
      </w:r>
      <w:r w:rsidR="00C06322">
        <w:t xml:space="preserve"> </w:t>
      </w:r>
      <w:r w:rsidR="00BB460D">
        <w:t>His</w:t>
      </w:r>
      <w:r w:rsidR="00C06322">
        <w:t xml:space="preserve"> long </w:t>
      </w:r>
      <w:r w:rsidR="00B872E5">
        <w:t>response</w:t>
      </w:r>
      <w:r w:rsidR="00EE415B">
        <w:t xml:space="preserve"> ope</w:t>
      </w:r>
      <w:r w:rsidR="00C06322">
        <w:t>ns with extensive discussion of Hegel, accep</w:t>
      </w:r>
      <w:r w:rsidR="00BB460D">
        <w:t xml:space="preserve">ting </w:t>
      </w:r>
      <w:proofErr w:type="spellStart"/>
      <w:r w:rsidR="00BB460D">
        <w:t>Žižek’s</w:t>
      </w:r>
      <w:proofErr w:type="spellEnd"/>
      <w:r w:rsidR="00BB460D">
        <w:t xml:space="preserve"> counterintuitive assessment that Hegelian</w:t>
      </w:r>
      <w:r w:rsidR="00C06322">
        <w:t xml:space="preserve"> philosophy of history ‘indicates not the logical inevitability of the course of human history, but rather the dependency of even our most abstract, universal assumptions on past contingent events’.</w:t>
      </w:r>
      <w:r w:rsidR="00B872E5">
        <w:rPr>
          <w:rStyle w:val="FootnoteReference"/>
        </w:rPr>
        <w:footnoteReference w:id="10"/>
      </w:r>
      <w:r w:rsidR="00B872E5">
        <w:t xml:space="preserve"> In this account, the </w:t>
      </w:r>
      <w:r w:rsidR="00524538">
        <w:t xml:space="preserve">emerging, personal </w:t>
      </w:r>
      <w:r w:rsidR="00B872E5">
        <w:t xml:space="preserve">subject who makes history is </w:t>
      </w:r>
      <w:r w:rsidR="00BB460D">
        <w:t>its</w:t>
      </w:r>
      <w:r w:rsidR="00B40654">
        <w:t xml:space="preserve"> true agent</w:t>
      </w:r>
      <w:r w:rsidR="008F1C27">
        <w:t xml:space="preserve">. But against </w:t>
      </w:r>
      <w:proofErr w:type="spellStart"/>
      <w:r w:rsidR="008F1C27">
        <w:t>Žižek’s</w:t>
      </w:r>
      <w:proofErr w:type="spellEnd"/>
      <w:r w:rsidR="008F1C27">
        <w:t xml:space="preserve"> </w:t>
      </w:r>
      <w:r w:rsidR="0053746A">
        <w:t xml:space="preserve">dialectical, </w:t>
      </w:r>
      <w:r w:rsidR="008F1C27">
        <w:t xml:space="preserve">atheist—and, we might add, superfluously vulgar—Christianity, </w:t>
      </w:r>
      <w:r w:rsidR="00867680">
        <w:t xml:space="preserve">Milbank proposes a ‘Catholic </w:t>
      </w:r>
      <w:r w:rsidR="004812C5">
        <w:t>metaphysics’ grounded in</w:t>
      </w:r>
      <w:r w:rsidR="00867680">
        <w:t xml:space="preserve"> </w:t>
      </w:r>
      <w:proofErr w:type="spellStart"/>
      <w:r w:rsidR="00867680">
        <w:t>incarnational</w:t>
      </w:r>
      <w:proofErr w:type="spellEnd"/>
      <w:r w:rsidR="00867680">
        <w:t xml:space="preserve"> paradox</w:t>
      </w:r>
      <w:r w:rsidR="00540A00">
        <w:t xml:space="preserve">, </w:t>
      </w:r>
      <w:r w:rsidR="00BB460D">
        <w:t xml:space="preserve">which is a mediation </w:t>
      </w:r>
      <w:r w:rsidR="00811D1F">
        <w:t>grounding</w:t>
      </w:r>
      <w:r w:rsidR="00540A00">
        <w:t xml:space="preserve"> </w:t>
      </w:r>
      <w:r w:rsidR="000F41F8">
        <w:t xml:space="preserve">the </w:t>
      </w:r>
      <w:r w:rsidR="00540A00">
        <w:t>immediacy</w:t>
      </w:r>
      <w:r w:rsidR="000F41F8">
        <w:t xml:space="preserve"> of human experience</w:t>
      </w:r>
      <w:r w:rsidR="00867680">
        <w:t>.</w:t>
      </w:r>
      <w:r w:rsidR="00540A00">
        <w:t xml:space="preserve"> The paradoxical character of everyday experience (ghosts, magic, fairies, miracles, sex, midnight…)</w:t>
      </w:r>
      <w:r w:rsidR="00372E7F">
        <w:t xml:space="preserve"> </w:t>
      </w:r>
      <w:r w:rsidR="000F41F8">
        <w:t>felt</w:t>
      </w:r>
      <w:r w:rsidR="00372E7F">
        <w:t xml:space="preserve"> by many ordinary people</w:t>
      </w:r>
      <w:r w:rsidR="00540A00" w:rsidRPr="00540A00">
        <w:t xml:space="preserve"> </w:t>
      </w:r>
      <w:r w:rsidR="00540A00">
        <w:t>should not, he convincingly argues, be accounted for by invoking discrete supernatural intervention, which is almost as bad as disbelieving it altog</w:t>
      </w:r>
      <w:r w:rsidR="000F41F8">
        <w:t>ether. Rather, such experiences point</w:t>
      </w:r>
      <w:r w:rsidR="00540A00">
        <w:t xml:space="preserve"> to the real, bizarre character of the everyday world.</w:t>
      </w:r>
      <w:r w:rsidR="00540A00">
        <w:rPr>
          <w:rStyle w:val="FootnoteReference"/>
        </w:rPr>
        <w:footnoteReference w:id="11"/>
      </w:r>
      <w:r w:rsidR="0053746A">
        <w:t xml:space="preserve"> It is in this </w:t>
      </w:r>
      <w:r w:rsidR="00CB7B68">
        <w:t xml:space="preserve">contingency </w:t>
      </w:r>
      <w:r w:rsidR="0053746A">
        <w:t xml:space="preserve">that its true depth and beauty </w:t>
      </w:r>
      <w:proofErr w:type="spellStart"/>
      <w:r w:rsidR="0053746A">
        <w:t>inhere</w:t>
      </w:r>
      <w:proofErr w:type="spellEnd"/>
      <w:r w:rsidR="0053746A">
        <w:t>.</w:t>
      </w:r>
    </w:p>
    <w:p w:rsidR="004812C5" w:rsidRDefault="004812C5" w:rsidP="00882F88">
      <w:pPr>
        <w:spacing w:after="0"/>
        <w:ind w:firstLine="720"/>
      </w:pPr>
      <w:r>
        <w:t xml:space="preserve">By means of paradox, Milbank </w:t>
      </w:r>
      <w:r w:rsidR="00811D1F">
        <w:t xml:space="preserve">thus </w:t>
      </w:r>
      <w:r>
        <w:t>rescue</w:t>
      </w:r>
      <w:r w:rsidR="0053746A">
        <w:t>s</w:t>
      </w:r>
      <w:r>
        <w:t xml:space="preserve"> everyday experience from deconstruction and dissolution</w:t>
      </w:r>
      <w:r w:rsidR="001F6971">
        <w:t xml:space="preserve"> and recover</w:t>
      </w:r>
      <w:r w:rsidR="00811D1F">
        <w:t>s</w:t>
      </w:r>
      <w:r w:rsidR="001F6971">
        <w:t xml:space="preserve"> a sense of its enchanted character</w:t>
      </w:r>
      <w:r w:rsidR="00811D1F">
        <w:t xml:space="preserve"> by enfolding the whole in a divine–human economy of emanation and return</w:t>
      </w:r>
      <w:r>
        <w:t>.</w:t>
      </w:r>
      <w:r w:rsidR="00CB7B68">
        <w:t xml:space="preserve"> </w:t>
      </w:r>
      <w:r w:rsidR="00811D1F">
        <w:t>D</w:t>
      </w:r>
      <w:r w:rsidR="001F6971">
        <w:t xml:space="preserve">e </w:t>
      </w:r>
      <w:proofErr w:type="spellStart"/>
      <w:r w:rsidR="001F6971">
        <w:t>Lubac’s</w:t>
      </w:r>
      <w:proofErr w:type="spellEnd"/>
      <w:r w:rsidR="001F6971">
        <w:t xml:space="preserve"> voice </w:t>
      </w:r>
      <w:r w:rsidR="00811D1F">
        <w:t xml:space="preserve">once again </w:t>
      </w:r>
      <w:r w:rsidR="001F6971">
        <w:t>becomes clear:</w:t>
      </w:r>
    </w:p>
    <w:p w:rsidR="001F6971" w:rsidRDefault="001F6971" w:rsidP="001F6971">
      <w:pPr>
        <w:spacing w:after="0"/>
      </w:pPr>
    </w:p>
    <w:p w:rsidR="001F6971" w:rsidRDefault="001F6971" w:rsidP="001F6971">
      <w:pPr>
        <w:spacing w:after="0"/>
        <w:ind w:left="720"/>
      </w:pPr>
      <w:r>
        <w:t xml:space="preserve">Creatures are given to be in order to return to God, in order to </w:t>
      </w:r>
      <w:r w:rsidR="00811D1F">
        <w:t xml:space="preserve">return to </w:t>
      </w:r>
      <w:r>
        <w:t>God through gratitude. Herein lies the greater glory. And if the paradoxical double glory of God is that creatures are also glorified, also justified, then the paradoxical double glory of the creation is that it is not only glorious in its own beauty, but all the more glorious as glorifying its maker.</w:t>
      </w:r>
      <w:r>
        <w:rPr>
          <w:rStyle w:val="FootnoteReference"/>
        </w:rPr>
        <w:footnoteReference w:id="12"/>
      </w:r>
    </w:p>
    <w:p w:rsidR="00337C82" w:rsidRDefault="00337C82" w:rsidP="00321851">
      <w:pPr>
        <w:spacing w:after="0"/>
      </w:pPr>
    </w:p>
    <w:p w:rsidR="0053746A" w:rsidRDefault="0053746A" w:rsidP="00321851">
      <w:pPr>
        <w:spacing w:after="0"/>
      </w:pPr>
      <w:r>
        <w:t>The paradoxical nature of creation is th</w:t>
      </w:r>
      <w:r w:rsidR="006B12AF">
        <w:t xml:space="preserve">us a corollary of its excessive giftedness, with </w:t>
      </w:r>
      <w:r>
        <w:t xml:space="preserve">what need not </w:t>
      </w:r>
      <w:r w:rsidR="00437D28">
        <w:t xml:space="preserve">be </w:t>
      </w:r>
      <w:r w:rsidR="006B12AF">
        <w:t>constantly outweighing and proving</w:t>
      </w:r>
      <w:r>
        <w:t xml:space="preserve"> </w:t>
      </w:r>
      <w:r w:rsidR="006B12AF">
        <w:t>‘</w:t>
      </w:r>
      <w:r>
        <w:t>more essential and necessary</w:t>
      </w:r>
      <w:r w:rsidR="006B12AF">
        <w:t xml:space="preserve"> than what must be’.</w:t>
      </w:r>
      <w:r w:rsidR="006B12AF">
        <w:rPr>
          <w:rStyle w:val="FootnoteReference"/>
        </w:rPr>
        <w:footnoteReference w:id="13"/>
      </w:r>
    </w:p>
    <w:p w:rsidR="00E75E17" w:rsidRDefault="00E75E17" w:rsidP="00321851">
      <w:pPr>
        <w:spacing w:after="0"/>
      </w:pPr>
      <w:r>
        <w:tab/>
        <w:t>It is st</w:t>
      </w:r>
      <w:r w:rsidR="00EE415B">
        <w:t>riking that it has taken somebody</w:t>
      </w:r>
      <w:r>
        <w:t xml:space="preserve"> whose primary scholarly background is not theology (at least, as c</w:t>
      </w:r>
      <w:r w:rsidR="00EE415B">
        <w:t>lassically conceived) to catalyz</w:t>
      </w:r>
      <w:r>
        <w:t>e and crystallize ideas so widely disseminated as those of Radical Orthodoxy.</w:t>
      </w:r>
      <w:r w:rsidR="00C305E2">
        <w:t xml:space="preserve"> We shall return to </w:t>
      </w:r>
      <w:r w:rsidR="00010D43">
        <w:t>Milbank</w:t>
      </w:r>
      <w:r w:rsidR="00C305E2">
        <w:t xml:space="preserve"> later when considering Radical Orthodoxy’s possible future directions.</w:t>
      </w:r>
    </w:p>
    <w:p w:rsidR="0053746A" w:rsidRDefault="0053746A" w:rsidP="00321851">
      <w:pPr>
        <w:spacing w:after="0"/>
      </w:pPr>
    </w:p>
    <w:p w:rsidR="005C557F" w:rsidRDefault="009B5D7C" w:rsidP="00321851">
      <w:pPr>
        <w:spacing w:after="0"/>
      </w:pPr>
      <w:r w:rsidRPr="00A212CD">
        <w:t xml:space="preserve">Graham Ward is Professor of Contextual Theology and Ethics at </w:t>
      </w:r>
      <w:r w:rsidR="005C557F">
        <w:t xml:space="preserve">the University of Manchester. He read </w:t>
      </w:r>
      <w:r w:rsidR="004620B1">
        <w:t>English</w:t>
      </w:r>
      <w:r w:rsidR="005C557F">
        <w:t xml:space="preserve"> </w:t>
      </w:r>
      <w:r w:rsidR="00C305E2">
        <w:t>and French</w:t>
      </w:r>
      <w:r w:rsidR="004620B1">
        <w:t xml:space="preserve"> </w:t>
      </w:r>
      <w:r w:rsidR="005C557F">
        <w:t>as a</w:t>
      </w:r>
      <w:r w:rsidR="00C305E2">
        <w:t>n undergraduate at Cambridge, before teaching in the University’s English faculty. He then completed undergraduate and doctoral degrees in Theology</w:t>
      </w:r>
      <w:r w:rsidR="00BE7749">
        <w:t>,</w:t>
      </w:r>
      <w:r w:rsidR="00C305E2">
        <w:t xml:space="preserve"> and</w:t>
      </w:r>
      <w:r w:rsidR="005C557F">
        <w:t xml:space="preserve"> minister</w:t>
      </w:r>
      <w:r w:rsidR="00BE7749">
        <w:t>ial formation at Westcott House</w:t>
      </w:r>
      <w:r w:rsidR="00722503">
        <w:t xml:space="preserve">. </w:t>
      </w:r>
      <w:r w:rsidR="00BE7749">
        <w:t xml:space="preserve">Ward </w:t>
      </w:r>
      <w:r w:rsidR="00EE415B">
        <w:t>met</w:t>
      </w:r>
      <w:r w:rsidR="00BE7749">
        <w:t xml:space="preserve"> Milbank at a literature and theology conference, but i</w:t>
      </w:r>
      <w:r w:rsidR="00A27FE8">
        <w:t>n contrast</w:t>
      </w:r>
      <w:r w:rsidR="00BE7749">
        <w:t xml:space="preserve"> with Milbank</w:t>
      </w:r>
      <w:r w:rsidR="00C52B90">
        <w:t>, Ward is an Anglican priest and has performed a series of pastoral roles in conjunction with his academic work: a curacy</w:t>
      </w:r>
      <w:r w:rsidR="005C557F">
        <w:t xml:space="preserve"> at St Mary </w:t>
      </w:r>
      <w:proofErr w:type="spellStart"/>
      <w:r w:rsidR="005C557F">
        <w:t>Redcliffe</w:t>
      </w:r>
      <w:proofErr w:type="spellEnd"/>
      <w:r w:rsidR="005C557F">
        <w:t>, Bristol, before becoming Cha</w:t>
      </w:r>
      <w:r w:rsidR="00C52B90">
        <w:t>plain of Exeter College, Oxford</w:t>
      </w:r>
      <w:r w:rsidR="005C557F">
        <w:t xml:space="preserve"> then</w:t>
      </w:r>
      <w:r w:rsidRPr="00A212CD">
        <w:t xml:space="preserve"> </w:t>
      </w:r>
      <w:r w:rsidR="005C557F">
        <w:t xml:space="preserve">Dean of </w:t>
      </w:r>
      <w:proofErr w:type="spellStart"/>
      <w:r w:rsidR="005C557F">
        <w:t>Peterhouse</w:t>
      </w:r>
      <w:proofErr w:type="spellEnd"/>
      <w:r w:rsidR="005C557F">
        <w:t>, Cambridge.</w:t>
      </w:r>
      <w:r w:rsidR="00A27FE8">
        <w:t xml:space="preserve"> Perhaps in consequence, there shines through much of his work a deep connexion with contemporary culture and its ambiguities.</w:t>
      </w:r>
    </w:p>
    <w:p w:rsidR="009B5D7C" w:rsidRPr="00A212CD" w:rsidRDefault="00A546E0" w:rsidP="005C557F">
      <w:pPr>
        <w:spacing w:after="0"/>
        <w:ind w:firstLine="720"/>
      </w:pPr>
      <w:r w:rsidRPr="00A212CD">
        <w:t xml:space="preserve">With a background in postmodern philosophy and critical theory, </w:t>
      </w:r>
      <w:r w:rsidR="005461C7">
        <w:t>Ward’</w:t>
      </w:r>
      <w:r w:rsidR="006C78AD">
        <w:t>s</w:t>
      </w:r>
      <w:r w:rsidR="0060451B" w:rsidRPr="00A212CD">
        <w:t xml:space="preserve"> major programmatic work was</w:t>
      </w:r>
      <w:r w:rsidR="009B5D7C" w:rsidRPr="00A212CD">
        <w:t xml:space="preserve"> </w:t>
      </w:r>
      <w:r w:rsidR="009B5D7C" w:rsidRPr="00A212CD">
        <w:rPr>
          <w:i/>
        </w:rPr>
        <w:t>Cities of God</w:t>
      </w:r>
      <w:r w:rsidR="009B5D7C" w:rsidRPr="00A212CD">
        <w:t xml:space="preserve">. </w:t>
      </w:r>
      <w:r w:rsidR="00B11047">
        <w:t xml:space="preserve">Raised in Manchester and now returned </w:t>
      </w:r>
      <w:r w:rsidR="005461C7">
        <w:t>there</w:t>
      </w:r>
      <w:r w:rsidR="00B11047">
        <w:t xml:space="preserve">, </w:t>
      </w:r>
      <w:r w:rsidR="00EE415B">
        <w:t>he</w:t>
      </w:r>
      <w:r w:rsidR="00B11047">
        <w:t xml:space="preserve"> is well-attuned to high-octane cityscapes. But </w:t>
      </w:r>
      <w:r w:rsidR="003F7E31">
        <w:t>his</w:t>
      </w:r>
      <w:r w:rsidR="009B5D7C" w:rsidRPr="00A212CD">
        <w:t xml:space="preserve"> title, by playfully pluralising Augustine, </w:t>
      </w:r>
      <w:r w:rsidR="00B11047">
        <w:t xml:space="preserve">also </w:t>
      </w:r>
      <w:r w:rsidR="009B5D7C" w:rsidRPr="00A212CD">
        <w:t xml:space="preserve">highlights a </w:t>
      </w:r>
      <w:r w:rsidR="00E078E3" w:rsidRPr="00A212CD">
        <w:t>key</w:t>
      </w:r>
      <w:r w:rsidR="009B5D7C" w:rsidRPr="00A212CD">
        <w:t xml:space="preserve"> feature of the Bishop of Hippo’s ow</w:t>
      </w:r>
      <w:r w:rsidR="00BF003E" w:rsidRPr="00A212CD">
        <w:t>n work: that the city of God and the earthly cit</w:t>
      </w:r>
      <w:r w:rsidR="00EE415B">
        <w:t>y are, in reality, intermixed. Just as t</w:t>
      </w:r>
      <w:r w:rsidR="00BF003E" w:rsidRPr="00A212CD">
        <w:t>he city of God can no more be identified exclusively wi</w:t>
      </w:r>
      <w:r w:rsidR="00EE415B">
        <w:t>th the institutional church,</w:t>
      </w:r>
      <w:r w:rsidR="00BF003E" w:rsidRPr="00A212CD">
        <w:t xml:space="preserve"> </w:t>
      </w:r>
      <w:r w:rsidR="00EE415B">
        <w:t xml:space="preserve">so </w:t>
      </w:r>
      <w:r w:rsidR="00BF003E" w:rsidRPr="00A212CD">
        <w:t>the earthly city can</w:t>
      </w:r>
      <w:r w:rsidR="00EE415B">
        <w:t>not any longer</w:t>
      </w:r>
      <w:r w:rsidR="00BF003E" w:rsidRPr="00A212CD">
        <w:t xml:space="preserve"> be written off as entirely corrupt and sinful. There is love of God in the </w:t>
      </w:r>
      <w:r w:rsidR="005461C7">
        <w:t>world just as there is ample</w:t>
      </w:r>
      <w:r w:rsidR="00BF003E" w:rsidRPr="00A212CD">
        <w:t xml:space="preserve"> self-love in the church.</w:t>
      </w:r>
    </w:p>
    <w:p w:rsidR="00C93273" w:rsidRPr="00A212CD" w:rsidRDefault="00C93273" w:rsidP="002D3C1F">
      <w:pPr>
        <w:spacing w:after="0"/>
        <w:ind w:firstLine="720"/>
      </w:pPr>
      <w:r w:rsidRPr="00A212CD">
        <w:t xml:space="preserve">Vital to Ward’s contextual </w:t>
      </w:r>
      <w:r w:rsidR="00A70235">
        <w:t xml:space="preserve">theology is a </w:t>
      </w:r>
      <w:r w:rsidRPr="00A212CD">
        <w:t>reading of the ‘signs of the times’.</w:t>
      </w:r>
      <w:r w:rsidR="00A212CD" w:rsidRPr="00A212CD">
        <w:t xml:space="preserve"> He writes:</w:t>
      </w:r>
    </w:p>
    <w:p w:rsidR="00321851" w:rsidRDefault="00321851" w:rsidP="00321851">
      <w:pPr>
        <w:spacing w:after="0"/>
      </w:pPr>
    </w:p>
    <w:p w:rsidR="00A212CD" w:rsidRPr="00A212CD" w:rsidRDefault="00A212CD" w:rsidP="00882F88">
      <w:pPr>
        <w:spacing w:after="0"/>
        <w:ind w:left="720"/>
      </w:pPr>
      <w:r w:rsidRPr="00A212CD">
        <w:t>To ask what time it is</w:t>
      </w:r>
      <w:r w:rsidR="00A70235">
        <w:t xml:space="preserve"> </w:t>
      </w:r>
      <w:proofErr w:type="spellStart"/>
      <w:r w:rsidR="00A70235">
        <w:t>is</w:t>
      </w:r>
      <w:proofErr w:type="spellEnd"/>
      <w:r w:rsidRPr="00A212CD">
        <w:t xml:space="preserve"> to work with social and critical theorists, grasping and evaluating their methods, assumptions, conclusions and observations about living in various parts of the globe today. To ask what time it is requires taking cultural studies seriously.</w:t>
      </w:r>
      <w:r w:rsidRPr="00A212CD">
        <w:rPr>
          <w:rStyle w:val="FootnoteReference"/>
        </w:rPr>
        <w:footnoteReference w:id="14"/>
      </w:r>
    </w:p>
    <w:p w:rsidR="00321851" w:rsidRDefault="00321851" w:rsidP="00321851">
      <w:pPr>
        <w:spacing w:after="0"/>
      </w:pPr>
    </w:p>
    <w:p w:rsidR="00A212CD" w:rsidRDefault="00A212CD" w:rsidP="00321851">
      <w:pPr>
        <w:spacing w:after="0"/>
      </w:pPr>
      <w:r>
        <w:t xml:space="preserve">What ‘culture’ means here will become clearer in due course. But the </w:t>
      </w:r>
      <w:r w:rsidR="005D3148">
        <w:t xml:space="preserve">first </w:t>
      </w:r>
      <w:r w:rsidR="00EE415B">
        <w:t>key points</w:t>
      </w:r>
      <w:r>
        <w:t xml:space="preserve"> to grasp concern </w:t>
      </w:r>
      <w:r w:rsidR="00A70235">
        <w:t>its relation to</w:t>
      </w:r>
      <w:r>
        <w:t xml:space="preserve"> theological knowledge and meaning. Central to Ward’</w:t>
      </w:r>
      <w:r w:rsidR="005B15AE">
        <w:t>s project is a</w:t>
      </w:r>
      <w:r w:rsidR="00EE7D8E">
        <w:t>n</w:t>
      </w:r>
      <w:r w:rsidR="005B15AE">
        <w:t xml:space="preserve"> </w:t>
      </w:r>
      <w:r w:rsidR="00EE7D8E">
        <w:t>analogical</w:t>
      </w:r>
      <w:r w:rsidR="005B15AE">
        <w:t xml:space="preserve"> view of theology and the world in which all knowledge, including knowledge about God, is mediate</w:t>
      </w:r>
      <w:r w:rsidR="00A70235">
        <w:t>d through culture. A</w:t>
      </w:r>
      <w:r w:rsidR="005B15AE">
        <w:t xml:space="preserve">ll cultural forms contain elements of Christian truth. This is a world of </w:t>
      </w:r>
      <w:r w:rsidR="00C24487">
        <w:t>metaphor and</w:t>
      </w:r>
      <w:r w:rsidR="00A70235">
        <w:t xml:space="preserve"> sign</w:t>
      </w:r>
      <w:r w:rsidR="00C24487" w:rsidRPr="00C24487">
        <w:t xml:space="preserve"> </w:t>
      </w:r>
      <w:r w:rsidR="00C24487">
        <w:t>in which cool, rational objec</w:t>
      </w:r>
      <w:r w:rsidR="00A70235">
        <w:t>tivity is an illusion—</w:t>
      </w:r>
      <w:r w:rsidR="00C24487">
        <w:t xml:space="preserve">not because truth as such does not exist, but because </w:t>
      </w:r>
      <w:r w:rsidR="005B15AE">
        <w:t xml:space="preserve">meaning exceeds </w:t>
      </w:r>
      <w:r w:rsidR="00C24487">
        <w:t xml:space="preserve">human </w:t>
      </w:r>
      <w:r w:rsidR="00A70235">
        <w:t>interpretive powers</w:t>
      </w:r>
      <w:r w:rsidR="005B15AE">
        <w:t>.</w:t>
      </w:r>
      <w:r w:rsidR="00C24487">
        <w:t xml:space="preserve"> There is too much truth in the world to be made </w:t>
      </w:r>
      <w:r w:rsidR="00EE7D8E">
        <w:t xml:space="preserve">full </w:t>
      </w:r>
      <w:r w:rsidR="00C24487">
        <w:t>sense of.</w:t>
      </w:r>
    </w:p>
    <w:p w:rsidR="0024465B" w:rsidRDefault="00C87C2A" w:rsidP="004620B1">
      <w:pPr>
        <w:spacing w:after="0"/>
        <w:ind w:firstLine="720"/>
      </w:pPr>
      <w:r>
        <w:t xml:space="preserve">This view of the reality of theological truth </w:t>
      </w:r>
      <w:r w:rsidR="0024465B">
        <w:t xml:space="preserve">grounds Ward’s accounts of how a modern apologetics must proceed. Christian responses can no longer be judged, he argues, </w:t>
      </w:r>
      <w:r w:rsidR="005D3148">
        <w:t>on criteria</w:t>
      </w:r>
      <w:r w:rsidR="0024465B">
        <w:t xml:space="preserve"> of truth and authenticity. Rather, what must be assessed is their believability, acceptability and </w:t>
      </w:r>
      <w:r w:rsidR="0024465B">
        <w:lastRenderedPageBreak/>
        <w:t>adequacy ‘with respect to the situation we inhabit’.</w:t>
      </w:r>
      <w:r w:rsidR="0024465B">
        <w:rPr>
          <w:rStyle w:val="FootnoteReference"/>
        </w:rPr>
        <w:footnoteReference w:id="15"/>
      </w:r>
      <w:r w:rsidR="0024465B">
        <w:t xml:space="preserve"> Theology’s persuasive power moves centre-stage.</w:t>
      </w:r>
    </w:p>
    <w:p w:rsidR="00EE7D8E" w:rsidRDefault="0024465B" w:rsidP="002D3C1F">
      <w:pPr>
        <w:spacing w:after="0"/>
        <w:ind w:firstLine="720"/>
      </w:pPr>
      <w:r>
        <w:t>So much for the cultural reality in which Christian</w:t>
      </w:r>
      <w:r w:rsidR="00C87C2A">
        <w:t xml:space="preserve"> social critique</w:t>
      </w:r>
      <w:r w:rsidR="007F2A6B">
        <w:t xml:space="preserve"> is launched</w:t>
      </w:r>
      <w:r>
        <w:t xml:space="preserve">. </w:t>
      </w:r>
      <w:r w:rsidR="007F2A6B">
        <w:t>But what of the content of that critique? Ward outlines several elements, including the need to counter advanced social atomism with a strong doctrine of participation</w:t>
      </w:r>
      <w:r w:rsidR="008536BB">
        <w:t xml:space="preserve"> and</w:t>
      </w:r>
      <w:r w:rsidR="007F2A6B">
        <w:t xml:space="preserve"> </w:t>
      </w:r>
      <w:r w:rsidR="00D20A59">
        <w:t xml:space="preserve">a </w:t>
      </w:r>
      <w:r w:rsidR="00210A86">
        <w:t>comprehensive account of</w:t>
      </w:r>
      <w:r w:rsidR="008536BB">
        <w:t xml:space="preserve"> embodiment</w:t>
      </w:r>
      <w:r w:rsidR="007F2A6B">
        <w:t>.</w:t>
      </w:r>
      <w:r w:rsidR="000614DB">
        <w:t xml:space="preserve"> These objectives are not, in practice, separable. Ward envisions a ‘</w:t>
      </w:r>
      <w:proofErr w:type="spellStart"/>
      <w:r w:rsidR="000614DB">
        <w:t>transcorporeality</w:t>
      </w:r>
      <w:proofErr w:type="spellEnd"/>
      <w:r w:rsidR="000614DB">
        <w:t xml:space="preserve"> in which the body of Christ is mapped onto </w:t>
      </w:r>
      <w:r w:rsidR="00210A86">
        <w:t>and sho</w:t>
      </w:r>
      <w:r w:rsidR="000614DB">
        <w:t>t like a watermark through the physical bodies, social bodies, institutional bodies, ecclesial bodies’.</w:t>
      </w:r>
      <w:r w:rsidR="000614DB">
        <w:rPr>
          <w:rStyle w:val="FootnoteReference"/>
        </w:rPr>
        <w:footnoteReference w:id="16"/>
      </w:r>
      <w:r w:rsidR="006F4AAC">
        <w:t xml:space="preserve"> People with physical bodies comprise the church, which is the body of Christ in whi</w:t>
      </w:r>
      <w:r w:rsidR="00210A86">
        <w:t xml:space="preserve">ch that body is received </w:t>
      </w:r>
      <w:proofErr w:type="spellStart"/>
      <w:r w:rsidR="006F4AAC">
        <w:t>eucharist</w:t>
      </w:r>
      <w:r w:rsidR="00210A86">
        <w:t>ically</w:t>
      </w:r>
      <w:proofErr w:type="spellEnd"/>
      <w:r w:rsidR="006F4AAC">
        <w:t xml:space="preserve">, and those people live out their Christian lives through participating in innumerable other </w:t>
      </w:r>
      <w:r w:rsidR="00210A86">
        <w:t>bodies—</w:t>
      </w:r>
      <w:r w:rsidR="006F4AAC">
        <w:t>communal</w:t>
      </w:r>
      <w:r w:rsidR="00210A86">
        <w:t xml:space="preserve">, social, employment—as well as through families and </w:t>
      </w:r>
      <w:r w:rsidR="006F4AAC">
        <w:t>relationships.</w:t>
      </w:r>
    </w:p>
    <w:p w:rsidR="008536BB" w:rsidRDefault="008536BB" w:rsidP="002D3C1F">
      <w:pPr>
        <w:spacing w:after="0"/>
        <w:ind w:firstLine="720"/>
      </w:pPr>
      <w:r>
        <w:t xml:space="preserve">The other main </w:t>
      </w:r>
      <w:r w:rsidR="00DB476F">
        <w:t>role</w:t>
      </w:r>
      <w:r>
        <w:t xml:space="preserve"> </w:t>
      </w:r>
      <w:r w:rsidR="00DB476F">
        <w:t xml:space="preserve">of Christian social criticism should be, </w:t>
      </w:r>
      <w:r>
        <w:t>Ward</w:t>
      </w:r>
      <w:r w:rsidR="00DB476F">
        <w:t xml:space="preserve"> argues</w:t>
      </w:r>
      <w:r>
        <w:t>, to undo the denigration</w:t>
      </w:r>
      <w:r w:rsidR="00D604CF">
        <w:t xml:space="preserve"> in both</w:t>
      </w:r>
      <w:r>
        <w:t xml:space="preserve"> society</w:t>
      </w:r>
      <w:r w:rsidR="00D604CF">
        <w:t xml:space="preserve"> and church</w:t>
      </w:r>
      <w:r>
        <w:t xml:space="preserve"> of erotic love, resisting postmodern seduction with Christian desire. He protests: ‘The communities of desire, dreamt and engineered by modernity, are parodies of the Christian </w:t>
      </w:r>
      <w:r w:rsidRPr="008536BB">
        <w:rPr>
          <w:i/>
        </w:rPr>
        <w:t>ecclesia</w:t>
      </w:r>
      <w:r>
        <w:t>.’</w:t>
      </w:r>
      <w:r>
        <w:rPr>
          <w:rStyle w:val="FootnoteReference"/>
        </w:rPr>
        <w:footnoteReference w:id="17"/>
      </w:r>
      <w:r>
        <w:t xml:space="preserve"> In the liberal capitalist state, desire does not construct lasting bonds between people but isolates them as each pursues private pleasures</w:t>
      </w:r>
      <w:r w:rsidR="00046313">
        <w:t xml:space="preserve"> and aspirations</w:t>
      </w:r>
      <w:r>
        <w:t xml:space="preserve">. </w:t>
      </w:r>
      <w:r w:rsidR="00D604CF">
        <w:t xml:space="preserve">Within the church, </w:t>
      </w:r>
      <w:r w:rsidR="00046313">
        <w:t>moreover, love is</w:t>
      </w:r>
      <w:r>
        <w:t xml:space="preserve"> </w:t>
      </w:r>
      <w:r w:rsidR="00DB476F">
        <w:t>denigrated by the</w:t>
      </w:r>
      <w:r w:rsidR="00046313">
        <w:t xml:space="preserve"> false separation </w:t>
      </w:r>
      <w:r w:rsidR="00DB476F">
        <w:t>of</w:t>
      </w:r>
      <w:r>
        <w:t xml:space="preserve"> </w:t>
      </w:r>
      <w:proofErr w:type="spellStart"/>
      <w:r w:rsidR="00046313" w:rsidRPr="00046313">
        <w:rPr>
          <w:i/>
        </w:rPr>
        <w:t>eros</w:t>
      </w:r>
      <w:proofErr w:type="spellEnd"/>
      <w:r w:rsidR="00046313">
        <w:t xml:space="preserve"> and </w:t>
      </w:r>
      <w:r w:rsidR="00046313" w:rsidRPr="00046313">
        <w:rPr>
          <w:i/>
        </w:rPr>
        <w:t>agape</w:t>
      </w:r>
      <w:r w:rsidR="00046313">
        <w:t>, with church life based too often on dispassionate, selfless pursuit of duty rather than on passionate desire for fully embodied self-giving and self-opening.</w:t>
      </w:r>
      <w:r w:rsidR="000D2D86">
        <w:t xml:space="preserve"> Furthermore, </w:t>
      </w:r>
      <w:r w:rsidR="00DB476F">
        <w:t>church institutions arbitrari</w:t>
      </w:r>
      <w:r w:rsidR="00C65403">
        <w:t>ly privilege some forms of erotic life over others—hence Ward</w:t>
      </w:r>
      <w:r w:rsidR="00DA11DF">
        <w:t xml:space="preserve"> founds his </w:t>
      </w:r>
      <w:proofErr w:type="spellStart"/>
      <w:r w:rsidR="00DA11DF">
        <w:t>erotics</w:t>
      </w:r>
      <w:proofErr w:type="spellEnd"/>
      <w:r w:rsidR="00DA11DF">
        <w:t xml:space="preserve"> in the bodily dynamics of </w:t>
      </w:r>
      <w:proofErr w:type="spellStart"/>
      <w:r w:rsidR="00DA11DF">
        <w:t>eucharist</w:t>
      </w:r>
      <w:proofErr w:type="spellEnd"/>
      <w:r w:rsidR="00DA11DF">
        <w:t xml:space="preserve"> rather than the legal-contractual marriage</w:t>
      </w:r>
      <w:r w:rsidR="005C3207">
        <w:t xml:space="preserve"> service</w:t>
      </w:r>
      <w:r w:rsidR="00DA11DF">
        <w:t>.</w:t>
      </w:r>
      <w:r w:rsidR="005C3207">
        <w:t xml:space="preserve"> He is deeply committed to a far more open embrace of sexuality in all its multiple forms than most churches are currently willing to risk.</w:t>
      </w:r>
    </w:p>
    <w:p w:rsidR="009E1E46" w:rsidRDefault="009E1E46" w:rsidP="002D3C1F">
      <w:pPr>
        <w:spacing w:after="0"/>
        <w:ind w:firstLine="720"/>
      </w:pPr>
      <w:r>
        <w:t xml:space="preserve">Ward’s </w:t>
      </w:r>
      <w:r w:rsidR="00DB476F">
        <w:t>use of</w:t>
      </w:r>
      <w:r>
        <w:t xml:space="preserve"> the city as archetypal image of flux, encounter, aesthetics and alienation could be seen as </w:t>
      </w:r>
      <w:r w:rsidR="004A25B1">
        <w:t>superseded by increasingly dislocated postmodern living: in the internet age, it matters less where people live</w:t>
      </w:r>
      <w:r w:rsidR="00D20A59">
        <w:t>,</w:t>
      </w:r>
      <w:r w:rsidR="004A25B1">
        <w:t xml:space="preserve"> and personal encounters are increasingly replaced </w:t>
      </w:r>
      <w:r w:rsidR="00D20A59">
        <w:t>by</w:t>
      </w:r>
      <w:r w:rsidR="004A25B1">
        <w:t xml:space="preserve"> automated, remote processes.</w:t>
      </w:r>
      <w:r w:rsidR="00D20A59">
        <w:t xml:space="preserve"> But Ward regard</w:t>
      </w:r>
      <w:r w:rsidR="00514C7C">
        <w:t>s cyberspace as continuing and intensifying the disembodied, dispossessed ‘life’ of the city.</w:t>
      </w:r>
      <w:r w:rsidR="002F2D76">
        <w:t xml:space="preserve"> Its eroticism is highly charged, with possible interactions at once both limitless across geographical boundaries, generations and ethnicities, </w:t>
      </w:r>
      <w:r w:rsidR="00DB476F">
        <w:t>and</w:t>
      </w:r>
      <w:r w:rsidR="002F2D76">
        <w:t xml:space="preserve"> digitised, atomised and </w:t>
      </w:r>
      <w:r w:rsidR="0065017A">
        <w:t>superficial.</w:t>
      </w:r>
      <w:r w:rsidR="00A43250">
        <w:t xml:space="preserve"> </w:t>
      </w:r>
      <w:r w:rsidR="00DB476F">
        <w:t>Reasons</w:t>
      </w:r>
      <w:r w:rsidR="00A43250">
        <w:t xml:space="preserve"> for Ch</w:t>
      </w:r>
      <w:r w:rsidR="00DB476F">
        <w:t>ristian hope nevertheless abide</w:t>
      </w:r>
      <w:r w:rsidR="00A43250">
        <w:t>. In a world of information flows and open bodies</w:t>
      </w:r>
      <w:r w:rsidR="00F320A0">
        <w:t>, the ‘sites of Christian community cannot be mapped or labelled’, and all can ‘find their place in the continually expansive Christological corpus’.</w:t>
      </w:r>
      <w:r w:rsidR="00F320A0">
        <w:rPr>
          <w:rStyle w:val="FootnoteReference"/>
        </w:rPr>
        <w:footnoteReference w:id="18"/>
      </w:r>
      <w:r w:rsidR="00DB476F">
        <w:t xml:space="preserve"> As Ward’s case studies reveal, forms of Christian life are frequently found in the most unlikely places. </w:t>
      </w:r>
    </w:p>
    <w:p w:rsidR="004620B1" w:rsidRDefault="00872FCE" w:rsidP="002D3C1F">
      <w:pPr>
        <w:spacing w:after="0"/>
        <w:ind w:firstLine="720"/>
      </w:pPr>
      <w:r>
        <w:t xml:space="preserve">Ward develops his Christology further in </w:t>
      </w:r>
      <w:r w:rsidRPr="00872FCE">
        <w:rPr>
          <w:i/>
        </w:rPr>
        <w:t>Christ and Culture</w:t>
      </w:r>
      <w:r>
        <w:t xml:space="preserve">. Rather than </w:t>
      </w:r>
      <w:r w:rsidR="003C5F71">
        <w:t>defining</w:t>
      </w:r>
      <w:r>
        <w:t xml:space="preserve"> Christ’s essential person or teaching, Ward bases his enquiry on a consideration of </w:t>
      </w:r>
      <w:r w:rsidRPr="00872FCE">
        <w:rPr>
          <w:i/>
        </w:rPr>
        <w:t>where</w:t>
      </w:r>
      <w:r>
        <w:t xml:space="preserve"> Christ is.</w:t>
      </w:r>
      <w:r>
        <w:rPr>
          <w:rStyle w:val="FootnoteReference"/>
        </w:rPr>
        <w:footnoteReference w:id="19"/>
      </w:r>
      <w:r>
        <w:t xml:space="preserve"> </w:t>
      </w:r>
      <w:r w:rsidR="00D7314F">
        <w:t>Drawing on themes from his</w:t>
      </w:r>
      <w:r w:rsidR="003C5F71">
        <w:t xml:space="preserve"> cultural analysis</w:t>
      </w:r>
      <w:r w:rsidR="00D7314F">
        <w:t xml:space="preserve"> such as </w:t>
      </w:r>
      <w:proofErr w:type="spellStart"/>
      <w:r w:rsidR="00D7314F">
        <w:t>transcorporeality</w:t>
      </w:r>
      <w:proofErr w:type="spellEnd"/>
      <w:r w:rsidR="00D7314F">
        <w:t xml:space="preserve"> and the brokenness of the body, he shows how eschatology is crucial to understanding God’s relationship with the world in Christ. Completion and satisfaction are postponed, </w:t>
      </w:r>
      <w:r w:rsidR="00C82514">
        <w:t>impelling a yearning desire revealed in the shattered, displaced body of Christ himself.</w:t>
      </w:r>
      <w:r w:rsidR="008575E7">
        <w:t xml:space="preserve"> Ward espouses a </w:t>
      </w:r>
      <w:proofErr w:type="spellStart"/>
      <w:r w:rsidR="008575E7">
        <w:t>Markan</w:t>
      </w:r>
      <w:proofErr w:type="spellEnd"/>
      <w:r w:rsidR="008575E7">
        <w:t xml:space="preserve"> Christ, replete with painful paradox</w:t>
      </w:r>
      <w:r w:rsidR="00381543">
        <w:t xml:space="preserve"> and living in</w:t>
      </w:r>
      <w:r w:rsidR="006B1D39">
        <w:t xml:space="preserve"> </w:t>
      </w:r>
      <w:r w:rsidR="00381543">
        <w:t>physical, intimate,</w:t>
      </w:r>
      <w:r w:rsidR="006B1D39">
        <w:t xml:space="preserve"> </w:t>
      </w:r>
      <w:r w:rsidR="003C5F71">
        <w:t>even erotic relation with</w:t>
      </w:r>
      <w:r w:rsidR="00381543">
        <w:t xml:space="preserve"> the people around him.</w:t>
      </w:r>
      <w:r w:rsidR="006B1D39">
        <w:t xml:space="preserve"> Christ’s </w:t>
      </w:r>
      <w:r w:rsidR="006B1D39">
        <w:lastRenderedPageBreak/>
        <w:t>blood is first shed not on the cross but at his circum</w:t>
      </w:r>
      <w:r w:rsidR="003C5F71">
        <w:t>cision, which marks an</w:t>
      </w:r>
      <w:r w:rsidR="006B1D39">
        <w:t xml:space="preserve"> ongoing</w:t>
      </w:r>
      <w:r w:rsidR="003C5F71">
        <w:t>,</w:t>
      </w:r>
      <w:r w:rsidR="006B1D39">
        <w:t xml:space="preserve"> kenotic</w:t>
      </w:r>
      <w:r w:rsidR="008F4917">
        <w:t xml:space="preserve">, </w:t>
      </w:r>
      <w:r w:rsidR="006B1D39">
        <w:t>relation</w:t>
      </w:r>
      <w:r w:rsidR="008F4917">
        <w:t xml:space="preserve"> with his people </w:t>
      </w:r>
      <w:r w:rsidR="003C5F71">
        <w:t xml:space="preserve">as </w:t>
      </w:r>
      <w:r w:rsidR="008F4917">
        <w:t>he shows himself to them and begins to redeem them.</w:t>
      </w:r>
    </w:p>
    <w:p w:rsidR="0056247E" w:rsidRDefault="004620B1" w:rsidP="002D3C1F">
      <w:pPr>
        <w:spacing w:after="0"/>
        <w:ind w:firstLine="720"/>
      </w:pPr>
      <w:r>
        <w:t>The</w:t>
      </w:r>
      <w:r w:rsidR="00C82514" w:rsidRPr="00C82514">
        <w:t xml:space="preserve"> </w:t>
      </w:r>
      <w:r w:rsidRPr="004620B1">
        <w:rPr>
          <w:i/>
        </w:rPr>
        <w:t>Cities of God</w:t>
      </w:r>
      <w:r>
        <w:t xml:space="preserve"> </w:t>
      </w:r>
      <w:r w:rsidR="00A56ADC">
        <w:t xml:space="preserve">cultural methodology </w:t>
      </w:r>
      <w:r w:rsidR="00C82514">
        <w:t>is de</w:t>
      </w:r>
      <w:r w:rsidR="0056247E">
        <w:t xml:space="preserve">ployed in </w:t>
      </w:r>
      <w:r w:rsidR="0056247E" w:rsidRPr="0056247E">
        <w:rPr>
          <w:i/>
        </w:rPr>
        <w:t>True Religion</w:t>
      </w:r>
      <w:r w:rsidR="0056247E">
        <w:t>. Ward here engages a rich montage of film, drama, literature and art, much of it postmodern, to advance his project of theological retrieval</w:t>
      </w:r>
      <w:r w:rsidR="000763A6">
        <w:t xml:space="preserve"> through culture</w:t>
      </w:r>
      <w:r w:rsidR="0056247E">
        <w:t>.</w:t>
      </w:r>
      <w:r w:rsidR="000763A6">
        <w:t xml:space="preserve"> The iconoclastic</w:t>
      </w:r>
      <w:r w:rsidR="00EA4BA3">
        <w:t xml:space="preserve"> nature </w:t>
      </w:r>
      <w:r w:rsidR="000763A6">
        <w:t>of that project</w:t>
      </w:r>
      <w:r w:rsidR="009A3260">
        <w:t xml:space="preserve">, </w:t>
      </w:r>
      <w:r w:rsidR="000A7755">
        <w:t>and the mix of</w:t>
      </w:r>
      <w:r w:rsidR="009A3260">
        <w:t xml:space="preserve"> analogy and parody</w:t>
      </w:r>
      <w:r w:rsidR="000A7755">
        <w:t xml:space="preserve"> it employs</w:t>
      </w:r>
      <w:r w:rsidR="009A3260">
        <w:t>,</w:t>
      </w:r>
      <w:r w:rsidR="000763A6">
        <w:t xml:space="preserve"> </w:t>
      </w:r>
      <w:r w:rsidR="000A7755">
        <w:t>become</w:t>
      </w:r>
      <w:r w:rsidR="00EA4BA3">
        <w:t xml:space="preserve"> more clearly apparent. He </w:t>
      </w:r>
      <w:r w:rsidR="002D3C1F">
        <w:t>avers</w:t>
      </w:r>
      <w:r w:rsidR="00EA4BA3">
        <w:t>:</w:t>
      </w:r>
    </w:p>
    <w:p w:rsidR="00321851" w:rsidRDefault="00321851" w:rsidP="00321851">
      <w:pPr>
        <w:spacing w:after="0"/>
      </w:pPr>
    </w:p>
    <w:p w:rsidR="00EA4BA3" w:rsidRDefault="00EA4BA3" w:rsidP="00E56AC5">
      <w:pPr>
        <w:spacing w:after="0"/>
        <w:ind w:left="720"/>
      </w:pPr>
      <w:r>
        <w:t>Religion does not live in and of itself any more—it lives in commercial business, gothic and sci-fi fantasy, in health clubs, themed bars and architectural design, among happy-hour drinkers, tattooists, ecologists and cyberpunks. Religion has become a special effect, inseparably bound to an entertainment value.</w:t>
      </w:r>
      <w:r w:rsidR="00114444">
        <w:rPr>
          <w:rStyle w:val="FootnoteReference"/>
        </w:rPr>
        <w:footnoteReference w:id="20"/>
      </w:r>
    </w:p>
    <w:p w:rsidR="00321851" w:rsidRDefault="00321851" w:rsidP="00321851">
      <w:pPr>
        <w:spacing w:after="0"/>
      </w:pPr>
    </w:p>
    <w:p w:rsidR="00445563" w:rsidRDefault="004A4588" w:rsidP="00321851">
      <w:pPr>
        <w:spacing w:after="0"/>
      </w:pPr>
      <w:r>
        <w:t>This analysis, intentionally provocative, could easily be seen as a sell-out to secularism. Yet Ward’s assessment emerges from his conviction that secularism, modernity and liberalism are</w:t>
      </w:r>
      <w:r w:rsidR="0032065B">
        <w:t xml:space="preserve"> disintegrating. </w:t>
      </w:r>
      <w:r w:rsidR="0083489F">
        <w:t xml:space="preserve">Yet </w:t>
      </w:r>
      <w:r w:rsidR="008B4C46">
        <w:t xml:space="preserve">the </w:t>
      </w:r>
      <w:proofErr w:type="spellStart"/>
      <w:r w:rsidR="008B4C46" w:rsidRPr="008B4C46">
        <w:rPr>
          <w:i/>
        </w:rPr>
        <w:t>saeculum</w:t>
      </w:r>
      <w:proofErr w:type="spellEnd"/>
      <w:r w:rsidR="008B4C46">
        <w:t xml:space="preserve"> </w:t>
      </w:r>
      <w:r w:rsidR="0083489F">
        <w:t xml:space="preserve">classically </w:t>
      </w:r>
      <w:r w:rsidR="008B4C46">
        <w:t xml:space="preserve">had no existence separate from </w:t>
      </w:r>
      <w:r w:rsidR="0061122F">
        <w:t>religion</w:t>
      </w:r>
      <w:r w:rsidR="0083489F">
        <w:t>. Theologians can</w:t>
      </w:r>
      <w:r w:rsidR="008B4C46">
        <w:t xml:space="preserve"> </w:t>
      </w:r>
      <w:r w:rsidR="0083489F">
        <w:t>gather together the shards of Christian witness scattered across secular society, and religion</w:t>
      </w:r>
      <w:r w:rsidR="0061122F">
        <w:t xml:space="preserve"> has the capacity to ‘redeem the spiritual materialisms of virtual reality’ and the ‘omnivorous rule of global capitalism’.</w:t>
      </w:r>
      <w:r w:rsidR="0061122F">
        <w:rPr>
          <w:rStyle w:val="FootnoteReference"/>
        </w:rPr>
        <w:footnoteReference w:id="21"/>
      </w:r>
    </w:p>
    <w:p w:rsidR="00723ACC" w:rsidRDefault="00723ACC" w:rsidP="002D3C1F">
      <w:pPr>
        <w:spacing w:after="0"/>
        <w:ind w:firstLine="720"/>
      </w:pPr>
      <w:r>
        <w:t xml:space="preserve">In </w:t>
      </w:r>
      <w:r w:rsidRPr="00723ACC">
        <w:rPr>
          <w:i/>
        </w:rPr>
        <w:t>Cultural Transformation and Religious Practice</w:t>
      </w:r>
      <w:r>
        <w:t xml:space="preserve">, </w:t>
      </w:r>
      <w:r w:rsidR="009C62B3">
        <w:t xml:space="preserve">which can be seen as the sequel to </w:t>
      </w:r>
      <w:r w:rsidR="009C62B3" w:rsidRPr="009C62B3">
        <w:rPr>
          <w:i/>
        </w:rPr>
        <w:t>Cities of God</w:t>
      </w:r>
      <w:r w:rsidR="009C62B3">
        <w:t xml:space="preserve">, </w:t>
      </w:r>
      <w:r>
        <w:t>Ward explores in more theoretical vein the dynamics of</w:t>
      </w:r>
      <w:r w:rsidR="0032065B">
        <w:t xml:space="preserve"> how religion may</w:t>
      </w:r>
      <w:r w:rsidR="00413324">
        <w:t xml:space="preserve"> change society</w:t>
      </w:r>
      <w:r>
        <w:t xml:space="preserve">. </w:t>
      </w:r>
      <w:r w:rsidR="0032065B">
        <w:t>His reasons for</w:t>
      </w:r>
      <w:r w:rsidR="005773C7">
        <w:t xml:space="preserve"> tak</w:t>
      </w:r>
      <w:r w:rsidR="0032065B">
        <w:t>ing</w:t>
      </w:r>
      <w:r w:rsidR="009C033D">
        <w:t xml:space="preserve"> culture rather than soci</w:t>
      </w:r>
      <w:r w:rsidR="005773C7">
        <w:t xml:space="preserve">ety as his theological locus </w:t>
      </w:r>
      <w:r w:rsidR="009C033D">
        <w:t>also bec</w:t>
      </w:r>
      <w:r w:rsidR="0083489F">
        <w:t xml:space="preserve">ome clearer. The notion of ‘the </w:t>
      </w:r>
      <w:r w:rsidR="009C033D">
        <w:t xml:space="preserve">social’ is too deeply implicated in the systems of measurement and categorization characteristic of modernity to be neutrally available for theological purposes, especially in </w:t>
      </w:r>
      <w:r w:rsidR="005773C7">
        <w:t>the</w:t>
      </w:r>
      <w:r w:rsidR="009C033D">
        <w:t xml:space="preserve"> postmodern context.</w:t>
      </w:r>
      <w:r w:rsidR="00572E1B">
        <w:rPr>
          <w:rStyle w:val="FootnoteReference"/>
        </w:rPr>
        <w:footnoteReference w:id="22"/>
      </w:r>
    </w:p>
    <w:p w:rsidR="00572E1B" w:rsidRDefault="00572E1B" w:rsidP="002D3C1F">
      <w:pPr>
        <w:spacing w:after="0"/>
        <w:ind w:firstLine="720"/>
      </w:pPr>
      <w:r>
        <w:t>War</w:t>
      </w:r>
      <w:r w:rsidR="005773C7">
        <w:t>d defends the view that theologians always have</w:t>
      </w:r>
      <w:r>
        <w:t xml:space="preserve"> to negotiate a place with respect to other cultural discourses</w:t>
      </w:r>
      <w:r w:rsidR="00A24E3B">
        <w:t>, acting as mediators rather than deliverers of authoritative verdicts</w:t>
      </w:r>
      <w:r>
        <w:t xml:space="preserve">. Provocatively, he demonstrates how this </w:t>
      </w:r>
      <w:r w:rsidR="00F3059A">
        <w:t>is</w:t>
      </w:r>
      <w:r>
        <w:t xml:space="preserve"> true even of a figure of the stature of Karl Barth, </w:t>
      </w:r>
      <w:r w:rsidR="00600F39">
        <w:t>who has been an abiding and often positive figure in Ward’s thought. Barth’s</w:t>
      </w:r>
      <w:r>
        <w:t xml:space="preserve"> theology developed following the sudden death of his f</w:t>
      </w:r>
      <w:r w:rsidR="005773C7">
        <w:t xml:space="preserve">ather in </w:t>
      </w:r>
      <w:r w:rsidR="00F3059A">
        <w:t xml:space="preserve">his </w:t>
      </w:r>
      <w:r w:rsidR="005773C7">
        <w:t>childhood and against the</w:t>
      </w:r>
      <w:r>
        <w:t xml:space="preserve"> domestic backdrop</w:t>
      </w:r>
      <w:r w:rsidR="005773C7">
        <w:t xml:space="preserve"> of his</w:t>
      </w:r>
      <w:r>
        <w:t xml:space="preserve"> </w:t>
      </w:r>
      <w:r w:rsidRPr="00572E1B">
        <w:rPr>
          <w:i/>
        </w:rPr>
        <w:t xml:space="preserve">ménage à </w:t>
      </w:r>
      <w:proofErr w:type="spellStart"/>
      <w:r w:rsidR="00790B19">
        <w:rPr>
          <w:i/>
        </w:rPr>
        <w:t>tr</w:t>
      </w:r>
      <w:r>
        <w:rPr>
          <w:i/>
        </w:rPr>
        <w:t>o</w:t>
      </w:r>
      <w:r w:rsidR="00790B19">
        <w:rPr>
          <w:i/>
        </w:rPr>
        <w:t>i</w:t>
      </w:r>
      <w:r>
        <w:rPr>
          <w:i/>
        </w:rPr>
        <w:t>s</w:t>
      </w:r>
      <w:proofErr w:type="spellEnd"/>
      <w:r>
        <w:t>. Barth was</w:t>
      </w:r>
      <w:r w:rsidR="00790B19">
        <w:t xml:space="preserve"> a flawed, vulnerable figure, </w:t>
      </w:r>
      <w:r w:rsidR="00F3059A">
        <w:t>trained as</w:t>
      </w:r>
      <w:r>
        <w:t xml:space="preserve"> </w:t>
      </w:r>
      <w:r w:rsidR="003E3F24">
        <w:t>a pastor not a theologian, who</w:t>
      </w:r>
      <w:r>
        <w:t xml:space="preserve"> </w:t>
      </w:r>
      <w:r w:rsidR="003E3F24">
        <w:t>would have refuted the urbane liberal theology of</w:t>
      </w:r>
      <w:r>
        <w:t xml:space="preserve"> </w:t>
      </w:r>
      <w:proofErr w:type="spellStart"/>
      <w:r>
        <w:t>Harnack</w:t>
      </w:r>
      <w:proofErr w:type="spellEnd"/>
      <w:r>
        <w:t xml:space="preserve"> and other teachers, Ward argues, even </w:t>
      </w:r>
      <w:r w:rsidRPr="00572E1B">
        <w:t>if</w:t>
      </w:r>
      <w:r>
        <w:t xml:space="preserve"> the First World War had not occurred.</w:t>
      </w:r>
      <w:r>
        <w:rPr>
          <w:rStyle w:val="FootnoteReference"/>
        </w:rPr>
        <w:footnoteReference w:id="23"/>
      </w:r>
      <w:r w:rsidR="003E3F24">
        <w:t xml:space="preserve"> Barth </w:t>
      </w:r>
      <w:r w:rsidR="00790B19">
        <w:t>exploited</w:t>
      </w:r>
      <w:r w:rsidR="003E3F24">
        <w:t xml:space="preserve"> networks and patronage for self-promotion, with his life subsequently edited by the Barth industry, his ‘symbolic bankers’, to conform with his very different imagined</w:t>
      </w:r>
      <w:r w:rsidR="00790B19">
        <w:t>, idealised</w:t>
      </w:r>
      <w:r w:rsidR="003E3F24">
        <w:t xml:space="preserve"> persona. </w:t>
      </w:r>
      <w:r w:rsidR="007B4B2D">
        <w:t>This is not, o</w:t>
      </w:r>
      <w:r w:rsidR="00864B76">
        <w:t>f course, ultimately a criticism of Barth. All process</w:t>
      </w:r>
      <w:r w:rsidR="00790B19">
        <w:t>es</w:t>
      </w:r>
      <w:r w:rsidR="00864B76">
        <w:t xml:space="preserve"> by which belief, including theological belief, is produced a</w:t>
      </w:r>
      <w:r w:rsidR="00F3059A">
        <w:t xml:space="preserve">nd reproduced are like this. Ward’s analysis </w:t>
      </w:r>
      <w:r w:rsidR="00864B76">
        <w:t xml:space="preserve">does, however, helpfully dismantle the notion that Barth’s thought is in any way </w:t>
      </w:r>
      <w:r w:rsidR="00B54FAA">
        <w:t xml:space="preserve">objectively </w:t>
      </w:r>
      <w:r w:rsidR="00864B76">
        <w:t>n</w:t>
      </w:r>
      <w:r w:rsidR="001C0AB6">
        <w:t>ormative for theologians</w:t>
      </w:r>
      <w:r w:rsidR="00864B76">
        <w:t>.</w:t>
      </w:r>
    </w:p>
    <w:p w:rsidR="004F4583" w:rsidRDefault="00C94096" w:rsidP="002D3C1F">
      <w:pPr>
        <w:spacing w:after="0"/>
        <w:ind w:firstLine="720"/>
      </w:pPr>
      <w:r>
        <w:t xml:space="preserve">The dynamics of cultural change are then examined. Key to Ward’s analysis is ‘standpoint epistemology’, which under the influence of feminist epistemology </w:t>
      </w:r>
      <w:r w:rsidR="00790B19">
        <w:t>posits</w:t>
      </w:r>
      <w:r>
        <w:t xml:space="preserve"> Christianity and all other knowledge communities as limited and finite.</w:t>
      </w:r>
      <w:r w:rsidR="005C6D78">
        <w:t xml:space="preserve"> Importantly, standpoints are asymmetric, exhibiting unstable </w:t>
      </w:r>
      <w:r w:rsidR="00790B19">
        <w:t>inter</w:t>
      </w:r>
      <w:r w:rsidR="005C6D78">
        <w:t>relations of marginalisation and domination.</w:t>
      </w:r>
      <w:r>
        <w:t xml:space="preserve"> There is no </w:t>
      </w:r>
      <w:r w:rsidR="0046038D">
        <w:t xml:space="preserve">objective </w:t>
      </w:r>
      <w:r w:rsidR="00790B19">
        <w:t xml:space="preserve">‘view from </w:t>
      </w:r>
      <w:r w:rsidR="00B54FAA">
        <w:lastRenderedPageBreak/>
        <w:t>nowhere’;</w:t>
      </w:r>
      <w:r>
        <w:t xml:space="preserve"> </w:t>
      </w:r>
      <w:r w:rsidR="00790B19">
        <w:t>r</w:t>
      </w:r>
      <w:r w:rsidR="0046038D">
        <w:t>ather, objectivity is the ‘naming of a direction’</w:t>
      </w:r>
      <w:r w:rsidR="005C6D78">
        <w:t>.</w:t>
      </w:r>
      <w:r w:rsidR="005C6D78">
        <w:rPr>
          <w:rStyle w:val="FootnoteReference"/>
        </w:rPr>
        <w:footnoteReference w:id="24"/>
      </w:r>
      <w:r w:rsidR="005C6D78">
        <w:t xml:space="preserve"> Standpoints are therefore intentional and, in the Christian case, eschatological, never able to attain completion this side of the </w:t>
      </w:r>
      <w:proofErr w:type="spellStart"/>
      <w:r w:rsidR="005C6D78">
        <w:t>eschaton</w:t>
      </w:r>
      <w:proofErr w:type="spellEnd"/>
      <w:r w:rsidR="004F4583">
        <w:t>.</w:t>
      </w:r>
    </w:p>
    <w:p w:rsidR="00D70FD3" w:rsidRDefault="007E5A0E" w:rsidP="002D3C1F">
      <w:pPr>
        <w:spacing w:after="0"/>
        <w:ind w:firstLine="720"/>
      </w:pPr>
      <w:r>
        <w:t xml:space="preserve">Ward concludes with an extended plea for the rehabilitation of imagination, drawing on Cornelius </w:t>
      </w:r>
      <w:proofErr w:type="spellStart"/>
      <w:r>
        <w:t>Castoriadis</w:t>
      </w:r>
      <w:proofErr w:type="spellEnd"/>
      <w:r>
        <w:t>.</w:t>
      </w:r>
      <w:r w:rsidR="004F4583">
        <w:t xml:space="preserve"> Imagination,</w:t>
      </w:r>
      <w:r>
        <w:t xml:space="preserve"> </w:t>
      </w:r>
      <w:r w:rsidR="004F4583">
        <w:t>rooted in desire, enables the fashioning of different social possibilities. This is no</w:t>
      </w:r>
      <w:r w:rsidR="00D80A4B">
        <w:t>t</w:t>
      </w:r>
      <w:r w:rsidR="004F4583">
        <w:t xml:space="preserve"> private introspection but </w:t>
      </w:r>
      <w:r w:rsidR="009C1078">
        <w:t xml:space="preserve">takes place within economies of response, relation and desire. </w:t>
      </w:r>
      <w:r w:rsidR="00790B19">
        <w:t>Personal imagination plumbs a</w:t>
      </w:r>
      <w:r w:rsidR="004F4583">
        <w:t xml:space="preserve"> </w:t>
      </w:r>
      <w:r w:rsidR="00D80A4B">
        <w:t>cultural</w:t>
      </w:r>
      <w:r w:rsidR="004F4583">
        <w:t xml:space="preserve"> imaginary, in which the symbolic is inchoately present in a similar way to the unconscious in the Freudian ego.</w:t>
      </w:r>
      <w:r w:rsidR="009C1078" w:rsidRPr="009C1078">
        <w:t xml:space="preserve"> </w:t>
      </w:r>
      <w:r w:rsidR="00790B19">
        <w:t>Imagination is</w:t>
      </w:r>
      <w:r w:rsidR="009C1078">
        <w:t xml:space="preserve"> nevertheless predicated on the Christian ‘scandal of particularity’, in which action and dreaming are not me</w:t>
      </w:r>
      <w:r w:rsidR="00790B19">
        <w:t>re functions of social or biological process</w:t>
      </w:r>
      <w:r w:rsidR="00B54FAA">
        <w:t xml:space="preserve"> but generated within a personal subject</w:t>
      </w:r>
      <w:r w:rsidR="009C1078">
        <w:t>.</w:t>
      </w:r>
    </w:p>
    <w:p w:rsidR="00882F88" w:rsidRPr="00BA2962" w:rsidRDefault="00790B19" w:rsidP="00882F88">
      <w:pPr>
        <w:spacing w:after="0"/>
        <w:ind w:firstLine="720"/>
      </w:pPr>
      <w:r>
        <w:t xml:space="preserve">Despite its bold agenda, </w:t>
      </w:r>
      <w:r w:rsidR="00882F88">
        <w:t>Ward’s work has attracted less controvers</w:t>
      </w:r>
      <w:r w:rsidR="004E3F01">
        <w:t xml:space="preserve">y </w:t>
      </w:r>
      <w:r>
        <w:t>than that of his colleagues. This is perhaps because,</w:t>
      </w:r>
      <w:r w:rsidR="004E3F01">
        <w:t xml:space="preserve"> </w:t>
      </w:r>
      <w:r w:rsidR="00547017">
        <w:t>although</w:t>
      </w:r>
      <w:r w:rsidR="00882F88">
        <w:t xml:space="preserve"> intellectuall</w:t>
      </w:r>
      <w:r w:rsidR="004E3F01">
        <w:t xml:space="preserve">y demanding, </w:t>
      </w:r>
      <w:r w:rsidR="00B54FAA">
        <w:t>Ward</w:t>
      </w:r>
      <w:r>
        <w:t xml:space="preserve"> </w:t>
      </w:r>
      <w:r w:rsidR="004E3F01">
        <w:t>e</w:t>
      </w:r>
      <w:r>
        <w:t>mploy</w:t>
      </w:r>
      <w:r w:rsidR="004E3F01">
        <w:t>s</w:t>
      </w:r>
      <w:r>
        <w:t xml:space="preserve"> a</w:t>
      </w:r>
      <w:r w:rsidR="004E3F01">
        <w:t xml:space="preserve"> </w:t>
      </w:r>
      <w:r w:rsidR="00882F88">
        <w:t xml:space="preserve">more traditional academic </w:t>
      </w:r>
      <w:r>
        <w:t xml:space="preserve">style of </w:t>
      </w:r>
      <w:r w:rsidR="004E3F01">
        <w:t>prose</w:t>
      </w:r>
      <w:r>
        <w:t>, argument and referencing. To overlook Ward’s contribution</w:t>
      </w:r>
      <w:r w:rsidR="00882F88">
        <w:t xml:space="preserve">, however, would be a </w:t>
      </w:r>
      <w:r w:rsidR="004E3F01">
        <w:t>great</w:t>
      </w:r>
      <w:r w:rsidR="00882F88">
        <w:t xml:space="preserve"> mistake. </w:t>
      </w:r>
      <w:r w:rsidR="00B54FAA">
        <w:t>He</w:t>
      </w:r>
      <w:r w:rsidR="00882F88">
        <w:t xml:space="preserve"> provides a way into </w:t>
      </w:r>
      <w:r w:rsidR="00E75E17">
        <w:t>Radical</w:t>
      </w:r>
      <w:r w:rsidR="00656FDE">
        <w:t xml:space="preserve"> Orthodoxy</w:t>
      </w:r>
      <w:r w:rsidR="00273833">
        <w:t xml:space="preserve"> for people from non-theological disciplines and for those within theology more </w:t>
      </w:r>
      <w:r w:rsidR="009B783A">
        <w:t>sceptical about the C</w:t>
      </w:r>
      <w:r w:rsidR="00273833">
        <w:t xml:space="preserve">hurch. Notably, in Steven Shakespeare’s critical </w:t>
      </w:r>
      <w:r w:rsidR="00B54FAA">
        <w:t>exposition</w:t>
      </w:r>
      <w:r w:rsidR="00273833">
        <w:t xml:space="preserve"> of </w:t>
      </w:r>
      <w:r w:rsidR="00E75E17">
        <w:t>Radical</w:t>
      </w:r>
      <w:r w:rsidR="00656FDE">
        <w:t xml:space="preserve"> Orthodoxy</w:t>
      </w:r>
      <w:r w:rsidR="00273833">
        <w:t>,</w:t>
      </w:r>
      <w:r w:rsidR="00882F88">
        <w:t xml:space="preserve"> Ward</w:t>
      </w:r>
      <w:r w:rsidR="00273833">
        <w:t>’s</w:t>
      </w:r>
      <w:r w:rsidR="00CB7234">
        <w:t xml:space="preserve"> work</w:t>
      </w:r>
      <w:r w:rsidR="00273833">
        <w:t xml:space="preserve"> fares considerably</w:t>
      </w:r>
      <w:r w:rsidR="009B783A">
        <w:t xml:space="preserve"> better than that of colleagues</w:t>
      </w:r>
      <w:r w:rsidR="00882F88">
        <w:t>.</w:t>
      </w:r>
      <w:r w:rsidR="00882F88">
        <w:rPr>
          <w:rStyle w:val="FootnoteReference"/>
        </w:rPr>
        <w:footnoteReference w:id="25"/>
      </w:r>
    </w:p>
    <w:p w:rsidR="00321851" w:rsidRDefault="00321851" w:rsidP="00321851">
      <w:pPr>
        <w:spacing w:after="0"/>
      </w:pPr>
    </w:p>
    <w:p w:rsidR="00574062" w:rsidRDefault="00574062" w:rsidP="00321851">
      <w:pPr>
        <w:spacing w:after="0"/>
      </w:pPr>
      <w:r>
        <w:t xml:space="preserve">Catherine </w:t>
      </w:r>
      <w:proofErr w:type="spellStart"/>
      <w:r>
        <w:t>Pickstock</w:t>
      </w:r>
      <w:proofErr w:type="spellEnd"/>
      <w:r>
        <w:t xml:space="preserve"> has spent her</w:t>
      </w:r>
      <w:r w:rsidR="00882F88">
        <w:t xml:space="preserve"> entire</w:t>
      </w:r>
      <w:r>
        <w:t xml:space="preserve"> academic career in Cambridge, beginning with </w:t>
      </w:r>
      <w:r w:rsidR="00ED66A2">
        <w:t>undergraduate studies</w:t>
      </w:r>
      <w:r>
        <w:t xml:space="preserve"> in English</w:t>
      </w:r>
      <w:r w:rsidR="000B7F5A">
        <w:t xml:space="preserve"> and theology</w:t>
      </w:r>
      <w:r>
        <w:t>. She is currently Reader in Philo</w:t>
      </w:r>
      <w:r w:rsidR="006378A3">
        <w:t>sophy and Theology. Her</w:t>
      </w:r>
      <w:r w:rsidR="000B7F5A">
        <w:t xml:space="preserve"> controversial thesis was published in 1997 as </w:t>
      </w:r>
      <w:r w:rsidR="009E07D2" w:rsidRPr="009E07D2">
        <w:rPr>
          <w:i/>
        </w:rPr>
        <w:t>After Writing</w:t>
      </w:r>
      <w:r w:rsidR="000B7F5A">
        <w:t>, and is to date her one major monograph. I</w:t>
      </w:r>
      <w:r w:rsidR="006378A3">
        <w:t>n her words</w:t>
      </w:r>
      <w:r w:rsidR="000B7F5A">
        <w:t>, it</w:t>
      </w:r>
      <w:r w:rsidR="000D6C20">
        <w:t xml:space="preserve"> ‘falls within the new theological imperative of </w:t>
      </w:r>
      <w:r w:rsidR="00E75E17">
        <w:t>Radical</w:t>
      </w:r>
      <w:r w:rsidR="00656FDE">
        <w:t xml:space="preserve"> Orthodoxy</w:t>
      </w:r>
      <w:r w:rsidR="000D6C20">
        <w:t>’</w:t>
      </w:r>
      <w:r>
        <w:t>.</w:t>
      </w:r>
      <w:r w:rsidR="000D6C20">
        <w:rPr>
          <w:rStyle w:val="FootnoteReference"/>
        </w:rPr>
        <w:footnoteReference w:id="26"/>
      </w:r>
    </w:p>
    <w:p w:rsidR="002D3C1F" w:rsidRDefault="00F27A08" w:rsidP="00321851">
      <w:pPr>
        <w:spacing w:after="0"/>
      </w:pPr>
      <w:r>
        <w:tab/>
      </w:r>
      <w:r w:rsidR="004E3F01">
        <w:t>L</w:t>
      </w:r>
      <w:r>
        <w:t>anguage</w:t>
      </w:r>
      <w:r w:rsidR="004E3F01">
        <w:t>,</w:t>
      </w:r>
      <w:r>
        <w:t xml:space="preserve"> </w:t>
      </w:r>
      <w:proofErr w:type="spellStart"/>
      <w:r w:rsidR="004E3F01">
        <w:t>Pickstock</w:t>
      </w:r>
      <w:proofErr w:type="spellEnd"/>
      <w:r w:rsidR="004E3F01">
        <w:t xml:space="preserve"> argues, </w:t>
      </w:r>
      <w:r>
        <w:t xml:space="preserve">is revealed most fully not in writing but </w:t>
      </w:r>
      <w:r w:rsidR="00402BD7">
        <w:t>by</w:t>
      </w:r>
      <w:r>
        <w:t xml:space="preserve"> speech</w:t>
      </w:r>
      <w:r w:rsidR="008019D9">
        <w:t>.</w:t>
      </w:r>
      <w:r w:rsidR="003E16B8">
        <w:t xml:space="preserve"> This preference for </w:t>
      </w:r>
      <w:proofErr w:type="spellStart"/>
      <w:r w:rsidR="003E16B8">
        <w:t>orality</w:t>
      </w:r>
      <w:proofErr w:type="spellEnd"/>
      <w:r w:rsidR="003E16B8">
        <w:t>, which is physically perform</w:t>
      </w:r>
      <w:r w:rsidR="00402BD7">
        <w:t>ed language, above the written text</w:t>
      </w:r>
      <w:r w:rsidR="00B54FAA">
        <w:t>,</w:t>
      </w:r>
      <w:r w:rsidR="003E16B8">
        <w:t xml:space="preserve"> derives from a sophisticated reading of Plato</w:t>
      </w:r>
      <w:r w:rsidR="00032652">
        <w:t xml:space="preserve"> against </w:t>
      </w:r>
      <w:r w:rsidR="00B54FAA">
        <w:t xml:space="preserve">Derrida’s </w:t>
      </w:r>
      <w:r w:rsidR="007A30DD">
        <w:t>presentation</w:t>
      </w:r>
      <w:r w:rsidR="00B54FAA">
        <w:t xml:space="preserve"> of him</w:t>
      </w:r>
      <w:r w:rsidR="003E16B8">
        <w:t>.</w:t>
      </w:r>
      <w:r w:rsidR="008019D9">
        <w:t xml:space="preserve"> </w:t>
      </w:r>
      <w:r w:rsidR="004D5038">
        <w:t xml:space="preserve">It is also </w:t>
      </w:r>
      <w:r w:rsidR="00B54FAA">
        <w:t xml:space="preserve">intimately </w:t>
      </w:r>
      <w:r w:rsidR="004D5038">
        <w:t>c</w:t>
      </w:r>
      <w:r w:rsidR="00402BD7">
        <w:t>onjoined with desire. B</w:t>
      </w:r>
      <w:r w:rsidR="004D5038">
        <w:t>eyond rational contemplation</w:t>
      </w:r>
      <w:r w:rsidR="00B54FAA">
        <w:t>,</w:t>
      </w:r>
      <w:r w:rsidR="004D5038">
        <w:t xml:space="preserve"> a higher good</w:t>
      </w:r>
      <w:r w:rsidR="00402BD7" w:rsidRPr="00402BD7">
        <w:t xml:space="preserve"> </w:t>
      </w:r>
      <w:r w:rsidR="00402BD7">
        <w:t>awaits the philosopher</w:t>
      </w:r>
      <w:r w:rsidR="004D5038">
        <w:t>: erotic possession and ‘purification by means of captivation and penetration from without</w:t>
      </w:r>
      <w:r w:rsidR="00402BD7">
        <w:t>’</w:t>
      </w:r>
      <w:r w:rsidR="004D5038">
        <w:t>.</w:t>
      </w:r>
      <w:r w:rsidR="004D5038">
        <w:rPr>
          <w:rStyle w:val="FootnoteReference"/>
        </w:rPr>
        <w:footnoteReference w:id="27"/>
      </w:r>
      <w:r w:rsidR="00BF2683">
        <w:t xml:space="preserve"> This</w:t>
      </w:r>
      <w:r w:rsidR="00402BD7">
        <w:t xml:space="preserve"> ascent of the soul</w:t>
      </w:r>
      <w:r w:rsidR="00BF2683">
        <w:t xml:space="preserve"> culminates in worship</w:t>
      </w:r>
      <w:r w:rsidR="00B46A53">
        <w:t xml:space="preserve"> (understood as praise or doxology)</w:t>
      </w:r>
      <w:r w:rsidR="00402BD7">
        <w:t xml:space="preserve"> which, imitating the good, ontologically constitutes</w:t>
      </w:r>
      <w:r w:rsidR="009A37DF">
        <w:t xml:space="preserve"> both </w:t>
      </w:r>
      <w:r w:rsidR="00402BD7">
        <w:t xml:space="preserve">the city and </w:t>
      </w:r>
      <w:r w:rsidR="009A37DF">
        <w:t>the person who gives praise.</w:t>
      </w:r>
    </w:p>
    <w:p w:rsidR="0051266B" w:rsidRDefault="0051266B" w:rsidP="00321851">
      <w:pPr>
        <w:spacing w:after="0"/>
      </w:pPr>
      <w:r>
        <w:tab/>
      </w:r>
      <w:r w:rsidR="00461D4C">
        <w:t xml:space="preserve">Alongside this critique of </w:t>
      </w:r>
      <w:proofErr w:type="spellStart"/>
      <w:r w:rsidR="00461D4C">
        <w:t>textualization</w:t>
      </w:r>
      <w:proofErr w:type="spellEnd"/>
      <w:r w:rsidR="00461D4C">
        <w:t xml:space="preserve">, </w:t>
      </w:r>
      <w:proofErr w:type="spellStart"/>
      <w:r>
        <w:t>Pickstock</w:t>
      </w:r>
      <w:proofErr w:type="spellEnd"/>
      <w:r>
        <w:t xml:space="preserve"> pursues the critique of ‘</w:t>
      </w:r>
      <w:proofErr w:type="spellStart"/>
      <w:r>
        <w:t>spatialization</w:t>
      </w:r>
      <w:proofErr w:type="spellEnd"/>
      <w:r>
        <w:t xml:space="preserve">’ launched by Foucault and de </w:t>
      </w:r>
      <w:proofErr w:type="spellStart"/>
      <w:r>
        <w:t>Certeau</w:t>
      </w:r>
      <w:proofErr w:type="spellEnd"/>
      <w:r w:rsidR="009D6B97">
        <w:t xml:space="preserve">, in which ‘time is neutralized, and all is ordered and </w:t>
      </w:r>
      <w:proofErr w:type="spellStart"/>
      <w:r w:rsidR="009D6B97">
        <w:t>surveyable</w:t>
      </w:r>
      <w:proofErr w:type="spellEnd"/>
      <w:r w:rsidR="009D6B97">
        <w:t xml:space="preserve"> without remainder, within absolute borders’</w:t>
      </w:r>
      <w:r w:rsidR="007C58FA">
        <w:t xml:space="preserve"> and the individual ‘internally mapped like a </w:t>
      </w:r>
      <w:proofErr w:type="spellStart"/>
      <w:r w:rsidR="007C58FA">
        <w:t>spatialized</w:t>
      </w:r>
      <w:proofErr w:type="spellEnd"/>
      <w:r w:rsidR="007C58FA">
        <w:t xml:space="preserve"> city’</w:t>
      </w:r>
      <w:r w:rsidR="009D6B97">
        <w:t>.</w:t>
      </w:r>
      <w:r w:rsidR="009D6B97">
        <w:rPr>
          <w:rStyle w:val="FootnoteReference"/>
        </w:rPr>
        <w:footnoteReference w:id="28"/>
      </w:r>
      <w:r>
        <w:t xml:space="preserve"> </w:t>
      </w:r>
      <w:r w:rsidR="00E841EF">
        <w:t xml:space="preserve">The modern city thus becomes a necropolis, deprived of the life and reality previously given it </w:t>
      </w:r>
      <w:r w:rsidR="00461D4C">
        <w:t xml:space="preserve">in the era </w:t>
      </w:r>
      <w:r w:rsidR="00E841EF">
        <w:t xml:space="preserve">when </w:t>
      </w:r>
      <w:r w:rsidR="00461D4C">
        <w:t>daily</w:t>
      </w:r>
      <w:r w:rsidR="00E841EF">
        <w:t xml:space="preserve"> life was ordered </w:t>
      </w:r>
      <w:proofErr w:type="spellStart"/>
      <w:r w:rsidR="00E841EF">
        <w:t>eucharistically</w:t>
      </w:r>
      <w:proofErr w:type="spellEnd"/>
      <w:r w:rsidR="00E841EF">
        <w:t>.</w:t>
      </w:r>
      <w:r w:rsidR="00D453BD">
        <w:t xml:space="preserve"> The principal theorist of this rupture is Duns </w:t>
      </w:r>
      <w:proofErr w:type="spellStart"/>
      <w:r w:rsidR="00D453BD">
        <w:t>Scotus</w:t>
      </w:r>
      <w:proofErr w:type="spellEnd"/>
      <w:r w:rsidR="00D453BD">
        <w:t>, who saw the miraculous as residing not ‘in the analogical resemblances of the physical order, but in the possible radical discontinuities of that order’.</w:t>
      </w:r>
      <w:r w:rsidR="00D453BD">
        <w:rPr>
          <w:rStyle w:val="FootnoteReference"/>
        </w:rPr>
        <w:footnoteReference w:id="29"/>
      </w:r>
      <w:r w:rsidR="00D453BD">
        <w:t xml:space="preserve"> </w:t>
      </w:r>
    </w:p>
    <w:p w:rsidR="00924646" w:rsidRDefault="00924646" w:rsidP="00321851">
      <w:pPr>
        <w:spacing w:after="0"/>
      </w:pPr>
      <w:r>
        <w:tab/>
      </w:r>
      <w:proofErr w:type="spellStart"/>
      <w:r w:rsidR="001D4DF1">
        <w:t>Pickstock</w:t>
      </w:r>
      <w:proofErr w:type="spellEnd"/>
      <w:r w:rsidR="001D4DF1">
        <w:t xml:space="preserve"> suggests perceptively that</w:t>
      </w:r>
      <w:r w:rsidR="00461D4C">
        <w:t xml:space="preserve"> the reason the liturgical reforms that followed</w:t>
      </w:r>
      <w:r w:rsidR="001D4DF1">
        <w:t xml:space="preserve"> the Second Vatican Council were problematic </w:t>
      </w:r>
      <w:r w:rsidR="00461D4C">
        <w:t>was</w:t>
      </w:r>
      <w:r w:rsidR="001D4DF1">
        <w:t xml:space="preserve"> their failure to take into account the cultural dimension of the </w:t>
      </w:r>
      <w:proofErr w:type="spellStart"/>
      <w:r w:rsidR="001D4DF1">
        <w:t>eucharist</w:t>
      </w:r>
      <w:proofErr w:type="spellEnd"/>
      <w:r w:rsidR="001D4DF1">
        <w:t>. She offer</w:t>
      </w:r>
      <w:r w:rsidR="004E3F01">
        <w:t>s</w:t>
      </w:r>
      <w:r w:rsidR="001D4DF1">
        <w:t xml:space="preserve"> a suggestive reading of the multiple analogies, metaphors and </w:t>
      </w:r>
      <w:r w:rsidR="001D4DF1">
        <w:lastRenderedPageBreak/>
        <w:t xml:space="preserve">paradoxes inherent in the </w:t>
      </w:r>
      <w:proofErr w:type="spellStart"/>
      <w:r w:rsidR="001D4DF1">
        <w:t>eucharist</w:t>
      </w:r>
      <w:proofErr w:type="spellEnd"/>
      <w:r w:rsidR="001D4DF1">
        <w:t xml:space="preserve">: for </w:t>
      </w:r>
      <w:r w:rsidR="00E41F9E">
        <w:t>example, in liturgical space</w:t>
      </w:r>
      <w:r w:rsidR="00461D4C">
        <w:t>,</w:t>
      </w:r>
      <w:r w:rsidR="00E41F9E">
        <w:t xml:space="preserve"> physical journeying towards the altar is balanced by a divine movement of the host into our own physical bodies.</w:t>
      </w:r>
      <w:r w:rsidR="00E41F9E">
        <w:rPr>
          <w:rStyle w:val="FootnoteReference"/>
        </w:rPr>
        <w:footnoteReference w:id="30"/>
      </w:r>
      <w:r w:rsidR="001D4DF1">
        <w:t xml:space="preserve"> </w:t>
      </w:r>
      <w:r w:rsidR="00E41F9E">
        <w:t>H</w:t>
      </w:r>
      <w:r>
        <w:t xml:space="preserve">er argument </w:t>
      </w:r>
      <w:r w:rsidR="00E41F9E">
        <w:t xml:space="preserve">is </w:t>
      </w:r>
      <w:r>
        <w:t xml:space="preserve">based </w:t>
      </w:r>
      <w:r w:rsidR="00E41F9E">
        <w:t xml:space="preserve">largely </w:t>
      </w:r>
      <w:r>
        <w:t>on analysis of excerpts from the Latin mass text</w:t>
      </w:r>
      <w:r w:rsidR="00E41F9E">
        <w:t xml:space="preserve">, </w:t>
      </w:r>
      <w:r w:rsidR="00461D4C">
        <w:t>and she insists</w:t>
      </w:r>
      <w:r w:rsidR="00E41F9E">
        <w:t xml:space="preserve"> that the </w:t>
      </w:r>
      <w:proofErr w:type="spellStart"/>
      <w:r w:rsidR="00E41F9E">
        <w:t>eucharist</w:t>
      </w:r>
      <w:proofErr w:type="spellEnd"/>
      <w:r w:rsidR="00E41F9E">
        <w:t xml:space="preserve"> ‘situates us more inside language than ever’</w:t>
      </w:r>
      <w:r>
        <w:t>.</w:t>
      </w:r>
      <w:r w:rsidR="00E41F9E">
        <w:rPr>
          <w:rStyle w:val="FootnoteReference"/>
        </w:rPr>
        <w:footnoteReference w:id="31"/>
      </w:r>
    </w:p>
    <w:p w:rsidR="004503CF" w:rsidRDefault="004503CF" w:rsidP="004503CF">
      <w:pPr>
        <w:spacing w:after="0"/>
        <w:ind w:firstLine="720"/>
      </w:pPr>
      <w:r>
        <w:t xml:space="preserve">Several of these themes are pursued in </w:t>
      </w:r>
      <w:r w:rsidRPr="004503CF">
        <w:rPr>
          <w:i/>
        </w:rPr>
        <w:t>Truth in Aquinas</w:t>
      </w:r>
      <w:r>
        <w:t xml:space="preserve">, </w:t>
      </w:r>
      <w:r w:rsidR="00461D4C">
        <w:t>co-</w:t>
      </w:r>
      <w:r>
        <w:t xml:space="preserve">written with Milbank. The authors here argue for the centrality of the </w:t>
      </w:r>
      <w:r w:rsidR="00996F97">
        <w:t>category</w:t>
      </w:r>
      <w:r>
        <w:t xml:space="preserve"> of divine substance in Aquinas’</w:t>
      </w:r>
      <w:r w:rsidR="0042790B">
        <w:t>s</w:t>
      </w:r>
      <w:r>
        <w:t xml:space="preserve"> ‘</w:t>
      </w:r>
      <w:proofErr w:type="spellStart"/>
      <w:r>
        <w:t>theoontology</w:t>
      </w:r>
      <w:proofErr w:type="spellEnd"/>
      <w:r>
        <w:t xml:space="preserve">’, which intimately fuses metaphysics and sacred teaching. </w:t>
      </w:r>
      <w:r w:rsidR="0042790B">
        <w:t xml:space="preserve">Fundamental to the reading here developed is the notion that </w:t>
      </w:r>
      <w:proofErr w:type="spellStart"/>
      <w:r w:rsidR="0042790B">
        <w:t>transcendentals</w:t>
      </w:r>
      <w:proofErr w:type="spellEnd"/>
      <w:r w:rsidR="0042790B">
        <w:t xml:space="preserve"> are fully present in their instantiations, and convertible into those instantiations.</w:t>
      </w:r>
      <w:r w:rsidR="0042790B">
        <w:rPr>
          <w:rStyle w:val="FootnoteReference"/>
        </w:rPr>
        <w:footnoteReference w:id="32"/>
      </w:r>
      <w:r w:rsidR="0042790B">
        <w:t xml:space="preserve"> </w:t>
      </w:r>
      <w:r w:rsidR="00996F97">
        <w:t>M</w:t>
      </w:r>
      <w:r w:rsidR="00766A87">
        <w:t>etaphysics</w:t>
      </w:r>
      <w:r w:rsidR="00996F97">
        <w:t xml:space="preserve"> thereby</w:t>
      </w:r>
      <w:r w:rsidR="00766A87">
        <w:t xml:space="preserve"> becomes material and historical—in images, narratives, scripture and liturgy</w:t>
      </w:r>
      <w:r w:rsidR="00996F97">
        <w:t>—</w:t>
      </w:r>
      <w:r w:rsidR="00594415">
        <w:t xml:space="preserve">because its general categories can be defined </w:t>
      </w:r>
      <w:r w:rsidR="00996F97">
        <w:t xml:space="preserve">only </w:t>
      </w:r>
      <w:r w:rsidR="00594415">
        <w:t>via empirical description of particulars</w:t>
      </w:r>
      <w:r w:rsidR="00766A87">
        <w:t>.</w:t>
      </w:r>
      <w:r w:rsidR="00594415">
        <w:t xml:space="preserve"> </w:t>
      </w:r>
      <w:r w:rsidR="009E1910">
        <w:t xml:space="preserve">Sensation becomes both an experience of mediation and its reality. </w:t>
      </w:r>
      <w:r w:rsidR="00457C00">
        <w:t xml:space="preserve">This ‘extraordinary elevation of human sensory intuition’ </w:t>
      </w:r>
      <w:r w:rsidR="009E1910">
        <w:t>particularly exalts</w:t>
      </w:r>
      <w:r w:rsidR="00457C00">
        <w:t xml:space="preserve"> touch (not vision</w:t>
      </w:r>
      <w:r w:rsidR="00996F97">
        <w:t>, as usually supposed</w:t>
      </w:r>
      <w:r w:rsidR="00457C00">
        <w:t xml:space="preserve">) above the other senses, on the grounds that </w:t>
      </w:r>
      <w:r w:rsidR="00996F97">
        <w:t>touch require</w:t>
      </w:r>
      <w:r w:rsidR="00457C00">
        <w:t>s no me</w:t>
      </w:r>
      <w:r w:rsidR="009E1910">
        <w:t xml:space="preserve">dium except the body of the </w:t>
      </w:r>
      <w:proofErr w:type="spellStart"/>
      <w:r w:rsidR="009E1910">
        <w:t>toucher</w:t>
      </w:r>
      <w:proofErr w:type="spellEnd"/>
      <w:r w:rsidR="009E1910">
        <w:t>.</w:t>
      </w:r>
      <w:r w:rsidR="009E1910">
        <w:rPr>
          <w:rStyle w:val="FootnoteReference"/>
        </w:rPr>
        <w:footnoteReference w:id="33"/>
      </w:r>
      <w:r w:rsidR="009E1910">
        <w:t xml:space="preserve"> Yet all sensory operations can be regarded as touch, and taste—through which God i</w:t>
      </w:r>
      <w:r w:rsidR="00996F97">
        <w:t xml:space="preserve">s encountered in the </w:t>
      </w:r>
      <w:proofErr w:type="spellStart"/>
      <w:r w:rsidR="00996F97">
        <w:t>eucharist</w:t>
      </w:r>
      <w:proofErr w:type="spellEnd"/>
      <w:r w:rsidR="00996F97">
        <w:t>—i</w:t>
      </w:r>
      <w:r w:rsidR="009E1910">
        <w:t xml:space="preserve">s </w:t>
      </w:r>
      <w:r w:rsidR="00996F97">
        <w:t xml:space="preserve">identified as </w:t>
      </w:r>
      <w:r w:rsidR="009E1910">
        <w:t>the supreme form of touching.</w:t>
      </w:r>
      <w:r w:rsidR="007B636B">
        <w:t xml:space="preserve"> This ontology establishes a spirituality of desire, in which the </w:t>
      </w:r>
      <w:proofErr w:type="spellStart"/>
      <w:r w:rsidR="007B636B">
        <w:t>eucharist</w:t>
      </w:r>
      <w:proofErr w:type="spellEnd"/>
      <w:r w:rsidR="007B636B">
        <w:t xml:space="preserve"> is ‘only present in a kind of dispersal back into ... historical processes and then every physical thing’</w:t>
      </w:r>
      <w:r w:rsidR="007708ED">
        <w:t xml:space="preserve">, avoiding </w:t>
      </w:r>
      <w:r w:rsidR="00996F97">
        <w:t xml:space="preserve">the </w:t>
      </w:r>
      <w:proofErr w:type="spellStart"/>
      <w:r w:rsidR="00996F97">
        <w:t>fetishization</w:t>
      </w:r>
      <w:proofErr w:type="spellEnd"/>
      <w:r w:rsidR="00996F97">
        <w:t xml:space="preserve"> of</w:t>
      </w:r>
      <w:r w:rsidR="002564A4">
        <w:t xml:space="preserve"> either presence or absence</w:t>
      </w:r>
      <w:r w:rsidR="007B636B">
        <w:t>.</w:t>
      </w:r>
      <w:r w:rsidR="003D3951">
        <w:rPr>
          <w:rStyle w:val="FootnoteReference"/>
        </w:rPr>
        <w:footnoteReference w:id="34"/>
      </w:r>
    </w:p>
    <w:p w:rsidR="004E3F01" w:rsidRPr="001B6438" w:rsidRDefault="004E3F01" w:rsidP="004503CF">
      <w:pPr>
        <w:spacing w:after="0"/>
        <w:ind w:firstLine="720"/>
      </w:pPr>
      <w:proofErr w:type="spellStart"/>
      <w:r>
        <w:t>Pickstock’s</w:t>
      </w:r>
      <w:proofErr w:type="spellEnd"/>
      <w:r>
        <w:t xml:space="preserve"> work has been widely read and discussed, not without contention</w:t>
      </w:r>
      <w:r w:rsidR="00795BF4">
        <w:t>, and she was without doubt a key founding member of Radical Orthodoxy</w:t>
      </w:r>
      <w:r>
        <w:t xml:space="preserve">. In her work to date, she appears highly committed to semiotic, linguistic analysis and to </w:t>
      </w:r>
      <w:r w:rsidR="006378A3">
        <w:t xml:space="preserve">illumining Christian tradition with </w:t>
      </w:r>
      <w:r>
        <w:t xml:space="preserve">Platonic </w:t>
      </w:r>
      <w:r w:rsidR="00B54FAA">
        <w:t>imagery</w:t>
      </w:r>
      <w:r w:rsidR="006378A3">
        <w:t xml:space="preserve">. The relative paucity of recent work makes it harder to assess her distinctive, ongoing contribution. Nevertheless, as </w:t>
      </w:r>
      <w:r w:rsidR="00996F97">
        <w:t xml:space="preserve">Radical Orthodoxy </w:t>
      </w:r>
      <w:r w:rsidR="006378A3">
        <w:t xml:space="preserve">grows and new book series are launched, </w:t>
      </w:r>
      <w:r w:rsidR="00996F97">
        <w:t xml:space="preserve">it </w:t>
      </w:r>
      <w:r w:rsidR="006378A3">
        <w:t>is diversifying</w:t>
      </w:r>
      <w:r w:rsidR="00B54FAA">
        <w:t>,</w:t>
      </w:r>
      <w:r w:rsidR="006378A3">
        <w:t xml:space="preserve"> and some of the approaches and positions she adopts </w:t>
      </w:r>
      <w:r w:rsidR="00996F97">
        <w:t>and for which she is best known—such as non-identical repetition and anti-</w:t>
      </w:r>
      <w:proofErr w:type="spellStart"/>
      <w:r w:rsidR="00996F97">
        <w:t>Scotism</w:t>
      </w:r>
      <w:proofErr w:type="spellEnd"/>
      <w:r w:rsidR="00996F97">
        <w:t>—</w:t>
      </w:r>
      <w:r w:rsidR="00795BF4">
        <w:t>are being complemented with others.</w:t>
      </w:r>
    </w:p>
    <w:p w:rsidR="00574062" w:rsidRDefault="00574062" w:rsidP="00321851">
      <w:pPr>
        <w:spacing w:after="0"/>
      </w:pPr>
    </w:p>
    <w:p w:rsidR="000C445A" w:rsidRDefault="00FE6DAD" w:rsidP="00BF6574">
      <w:pPr>
        <w:spacing w:after="0"/>
      </w:pPr>
      <w:r>
        <w:t xml:space="preserve">What </w:t>
      </w:r>
      <w:r w:rsidR="006378A3">
        <w:t xml:space="preserve">then </w:t>
      </w:r>
      <w:r w:rsidR="00992A8E">
        <w:t>might</w:t>
      </w:r>
      <w:r>
        <w:t xml:space="preserve"> the f</w:t>
      </w:r>
      <w:r w:rsidR="00961F76">
        <w:t>uture</w:t>
      </w:r>
      <w:r w:rsidR="00992A8E">
        <w:t xml:space="preserve"> hold</w:t>
      </w:r>
      <w:r w:rsidR="00656FDE">
        <w:t xml:space="preserve"> for </w:t>
      </w:r>
      <w:r w:rsidR="00E75E17">
        <w:t>Radical</w:t>
      </w:r>
      <w:r w:rsidR="00656FDE">
        <w:t xml:space="preserve"> Orthodoxy</w:t>
      </w:r>
      <w:r>
        <w:t xml:space="preserve">? In an important recent chapter, Milbank proposes </w:t>
      </w:r>
      <w:r w:rsidR="00BE2760">
        <w:t>some</w:t>
      </w:r>
      <w:r>
        <w:t xml:space="preserve"> trajectories. This piece is noteworthy for its irenic and even, in places, self-critical tone. </w:t>
      </w:r>
      <w:r w:rsidR="000E1B46">
        <w:t xml:space="preserve">In the space here available, three </w:t>
      </w:r>
      <w:r w:rsidR="00067AEC">
        <w:t>interl</w:t>
      </w:r>
      <w:r w:rsidR="007F26BC">
        <w:t xml:space="preserve">inked </w:t>
      </w:r>
      <w:r w:rsidR="00BE2760">
        <w:t>points m</w:t>
      </w:r>
      <w:r w:rsidR="00B728F0">
        <w:t>ay be noted. In developing them</w:t>
      </w:r>
      <w:r w:rsidR="00BE2760">
        <w:t>, Milbank</w:t>
      </w:r>
      <w:r w:rsidR="00067AEC" w:rsidRPr="00067AEC">
        <w:t xml:space="preserve"> </w:t>
      </w:r>
      <w:r w:rsidR="00067AEC">
        <w:t>draw</w:t>
      </w:r>
      <w:r w:rsidR="00BE2760">
        <w:t>s</w:t>
      </w:r>
      <w:r w:rsidR="00067AEC">
        <w:t xml:space="preserve"> partly on my own work.</w:t>
      </w:r>
      <w:r w:rsidR="007F26BC">
        <w:rPr>
          <w:rStyle w:val="FootnoteReference"/>
        </w:rPr>
        <w:footnoteReference w:id="35"/>
      </w:r>
    </w:p>
    <w:p w:rsidR="000C445A" w:rsidRDefault="00067AEC" w:rsidP="000C445A">
      <w:pPr>
        <w:spacing w:after="0"/>
        <w:ind w:firstLine="720"/>
      </w:pPr>
      <w:r>
        <w:t>First</w:t>
      </w:r>
      <w:r w:rsidR="000E1B46">
        <w:t xml:space="preserve">, </w:t>
      </w:r>
      <w:r w:rsidR="00EF79C4">
        <w:t>he</w:t>
      </w:r>
      <w:r w:rsidR="000E1B46">
        <w:t xml:space="preserve"> urges a fuller espousal of metaphysical realism, </w:t>
      </w:r>
      <w:r w:rsidR="00E447A4">
        <w:t>acknowledging ‘some truth’ to criticisms t</w:t>
      </w:r>
      <w:r w:rsidR="00656FDE">
        <w:t xml:space="preserve">hat </w:t>
      </w:r>
      <w:r w:rsidR="00E75E17">
        <w:t>Radical</w:t>
      </w:r>
      <w:r w:rsidR="00656FDE">
        <w:t xml:space="preserve"> Orthodoxy</w:t>
      </w:r>
      <w:r w:rsidR="00E447A4">
        <w:t xml:space="preserve"> was originally over-dependent </w:t>
      </w:r>
      <w:r w:rsidR="00DA51DA">
        <w:t xml:space="preserve">for its grounding </w:t>
      </w:r>
      <w:r w:rsidR="00E447A4">
        <w:t>on postmodern philosophy</w:t>
      </w:r>
      <w:r w:rsidR="000E1B46">
        <w:t>.</w:t>
      </w:r>
      <w:r w:rsidR="00DA51DA">
        <w:rPr>
          <w:rStyle w:val="FootnoteReference"/>
        </w:rPr>
        <w:footnoteReference w:id="36"/>
      </w:r>
      <w:r w:rsidR="000E1B46">
        <w:t xml:space="preserve"> </w:t>
      </w:r>
      <w:r w:rsidR="000C445A">
        <w:t xml:space="preserve">This point is echoed </w:t>
      </w:r>
      <w:r w:rsidR="00EF79C4">
        <w:t xml:space="preserve">elsewhere </w:t>
      </w:r>
      <w:r w:rsidR="000C445A">
        <w:t>by Ward, who avers:</w:t>
      </w:r>
    </w:p>
    <w:p w:rsidR="006A0F79" w:rsidRDefault="006A0F79" w:rsidP="000C445A">
      <w:pPr>
        <w:spacing w:after="0"/>
        <w:ind w:firstLine="720"/>
      </w:pPr>
    </w:p>
    <w:p w:rsidR="000C445A" w:rsidRDefault="000C445A" w:rsidP="000C445A">
      <w:pPr>
        <w:spacing w:after="0"/>
        <w:ind w:left="720"/>
      </w:pPr>
      <w:r>
        <w:t xml:space="preserve">The favoured language of </w:t>
      </w:r>
      <w:proofErr w:type="spellStart"/>
      <w:r>
        <w:t>postmodernity</w:t>
      </w:r>
      <w:proofErr w:type="spellEnd"/>
      <w:r>
        <w:t xml:space="preserve"> … and the move towards soft understandings of the subject as agent and of power as diffuse are at best not going to be effective resistors to </w:t>
      </w:r>
      <w:r>
        <w:lastRenderedPageBreak/>
        <w:t>laissez-faire capitalism and at worst help foster a cult</w:t>
      </w:r>
      <w:r w:rsidR="00370D5A">
        <w:t>ure in which such capitalism can</w:t>
      </w:r>
      <w:r>
        <w:t xml:space="preserve"> have its greatest impact.</w:t>
      </w:r>
      <w:r>
        <w:rPr>
          <w:rStyle w:val="FootnoteReference"/>
        </w:rPr>
        <w:footnoteReference w:id="37"/>
      </w:r>
    </w:p>
    <w:p w:rsidR="006A0F79" w:rsidRDefault="006A0F79" w:rsidP="000C445A">
      <w:pPr>
        <w:spacing w:after="0"/>
        <w:ind w:left="720"/>
      </w:pPr>
    </w:p>
    <w:p w:rsidR="00AC12FF" w:rsidRDefault="006A0F79" w:rsidP="006A0F79">
      <w:pPr>
        <w:spacing w:after="0"/>
      </w:pPr>
      <w:r>
        <w:t>For Milbank, k</w:t>
      </w:r>
      <w:r w:rsidR="000E1B46">
        <w:t xml:space="preserve">ey figures of inspiration </w:t>
      </w:r>
      <w:r>
        <w:t>in addressing this deficit</w:t>
      </w:r>
      <w:r w:rsidR="000E1B46">
        <w:t xml:space="preserve"> include Maurice </w:t>
      </w:r>
      <w:proofErr w:type="spellStart"/>
      <w:r w:rsidR="000E1B46">
        <w:t>Blondel</w:t>
      </w:r>
      <w:proofErr w:type="spellEnd"/>
      <w:r w:rsidR="000E1B46">
        <w:t xml:space="preserve">, for whom the bond of substance ‘manifests and realises ever-again the hypostatic unity of God and humanity which alone finally guarantees and secures the finite ontological order’, and Pierre </w:t>
      </w:r>
      <w:proofErr w:type="spellStart"/>
      <w:r w:rsidR="000E1B46">
        <w:t>Teilhard</w:t>
      </w:r>
      <w:proofErr w:type="spellEnd"/>
      <w:r w:rsidR="000E1B46">
        <w:t xml:space="preserve"> de </w:t>
      </w:r>
      <w:proofErr w:type="spellStart"/>
      <w:r w:rsidR="000E1B46">
        <w:t>Chardin</w:t>
      </w:r>
      <w:proofErr w:type="spellEnd"/>
      <w:r w:rsidR="000E1B46">
        <w:t xml:space="preserve">, </w:t>
      </w:r>
      <w:r w:rsidR="00214CA6">
        <w:t>who offers an ‘evolutionary sense of the dynamism within nature’</w:t>
      </w:r>
      <w:r w:rsidR="000E1B46">
        <w:t>.</w:t>
      </w:r>
      <w:r w:rsidR="00214CA6">
        <w:rPr>
          <w:rStyle w:val="FootnoteReference"/>
        </w:rPr>
        <w:footnoteReference w:id="38"/>
      </w:r>
      <w:r w:rsidRPr="006A0F79">
        <w:t xml:space="preserve"> This can be read as an extension of the </w:t>
      </w:r>
      <w:r w:rsidR="00B728F0">
        <w:t>metaphysics</w:t>
      </w:r>
      <w:r>
        <w:t xml:space="preserve"> of </w:t>
      </w:r>
      <w:r w:rsidRPr="006A0F79">
        <w:t>participation: if we see the different parts of the world as linked together in what Aquinas presents as a ‘texture of causes’, it s</w:t>
      </w:r>
      <w:r w:rsidR="00EF79C4">
        <w:t>eems clear that evolution canno</w:t>
      </w:r>
      <w:r w:rsidRPr="006A0F79">
        <w:t>t b</w:t>
      </w:r>
      <w:r w:rsidR="00EF79C4">
        <w:t>e regarded as merely random. L</w:t>
      </w:r>
      <w:r w:rsidRPr="006A0F79">
        <w:t>i</w:t>
      </w:r>
      <w:r w:rsidR="00EF79C4">
        <w:t>ke all processes in the world</w:t>
      </w:r>
      <w:r w:rsidRPr="006A0F79">
        <w:t xml:space="preserve"> </w:t>
      </w:r>
      <w:r w:rsidR="00EF79C4">
        <w:t xml:space="preserve">it is </w:t>
      </w:r>
      <w:r w:rsidRPr="006A0F79">
        <w:t>related to formal and final causes, which give it purpose and direction.</w:t>
      </w:r>
    </w:p>
    <w:p w:rsidR="006A0F79" w:rsidRDefault="000F7B03" w:rsidP="00321851">
      <w:pPr>
        <w:spacing w:after="0"/>
      </w:pPr>
      <w:r w:rsidRPr="006A0F79">
        <w:tab/>
        <w:t xml:space="preserve">Second, </w:t>
      </w:r>
      <w:r w:rsidR="00067AEC" w:rsidRPr="006A0F79">
        <w:t xml:space="preserve">and following from the first point, </w:t>
      </w:r>
      <w:r w:rsidRPr="006A0F79">
        <w:t>Milbank distances himself with simpl</w:t>
      </w:r>
      <w:r w:rsidR="00EF79C4">
        <w:t xml:space="preserve">istic interpretations </w:t>
      </w:r>
      <w:r w:rsidRPr="006A0F79">
        <w:t xml:space="preserve">of </w:t>
      </w:r>
      <w:r w:rsidR="00067AEC" w:rsidRPr="006A0F79">
        <w:t>post-</w:t>
      </w:r>
      <w:proofErr w:type="spellStart"/>
      <w:r w:rsidR="00067AEC" w:rsidRPr="006A0F79">
        <w:t>Scotist</w:t>
      </w:r>
      <w:proofErr w:type="spellEnd"/>
      <w:r w:rsidR="00067AEC" w:rsidRPr="006A0F79">
        <w:t xml:space="preserve"> metaphysics</w:t>
      </w:r>
      <w:r w:rsidR="006A0F79">
        <w:t xml:space="preserve"> as entirely corrupt. He admits that</w:t>
      </w:r>
      <w:r w:rsidR="00067AEC" w:rsidRPr="006A0F79">
        <w:t xml:space="preserve"> ‘more needs to be said about the adequacy or otherwise of the </w:t>
      </w:r>
      <w:r w:rsidR="00E75E17">
        <w:t>Radical Orthodoxy</w:t>
      </w:r>
      <w:r w:rsidR="00067AEC" w:rsidRPr="006A0F79">
        <w:t xml:space="preserve"> genealogy’.</w:t>
      </w:r>
      <w:r w:rsidR="00067AEC" w:rsidRPr="006A0F79">
        <w:rPr>
          <w:rStyle w:val="FootnoteReference"/>
        </w:rPr>
        <w:footnoteReference w:id="39"/>
      </w:r>
      <w:r w:rsidR="006A0F79" w:rsidRPr="006A0F79">
        <w:t xml:space="preserve"> </w:t>
      </w:r>
      <w:r w:rsidR="004310CF">
        <w:t xml:space="preserve">Part of the point at issue concerns the scope of narrative: Milbank is a bold constructor of grand narratives, albeit in rhetorical mode, in contrast with </w:t>
      </w:r>
      <w:r w:rsidR="00B728F0">
        <w:t>Ward’s reading of</w:t>
      </w:r>
      <w:r w:rsidR="004310CF">
        <w:t xml:space="preserve"> intellectual history </w:t>
      </w:r>
      <w:r w:rsidR="00B728F0">
        <w:t>as ambiguous and fractured</w:t>
      </w:r>
      <w:r w:rsidR="004310CF">
        <w:t xml:space="preserve">.  </w:t>
      </w:r>
      <w:r w:rsidR="006A0F79">
        <w:t xml:space="preserve">At the very least, </w:t>
      </w:r>
      <w:r w:rsidR="00656FDE">
        <w:t xml:space="preserve">the radically orthodox voice </w:t>
      </w:r>
      <w:r w:rsidR="006A0F79">
        <w:t>need</w:t>
      </w:r>
      <w:r w:rsidR="00656FDE">
        <w:t>s</w:t>
      </w:r>
      <w:r w:rsidR="006A0F79">
        <w:t xml:space="preserve"> to be more explicit about the different textual hermeneutics </w:t>
      </w:r>
      <w:r w:rsidR="00B728F0">
        <w:t>in use</w:t>
      </w:r>
      <w:r w:rsidR="006A0F79">
        <w:t>. For example, Ward wisely warns his readers that Augustine is present ‘</w:t>
      </w:r>
      <w:proofErr w:type="spellStart"/>
      <w:r w:rsidR="006A0F79">
        <w:t>holographically</w:t>
      </w:r>
      <w:proofErr w:type="spellEnd"/>
      <w:r w:rsidR="006A0F79">
        <w:t xml:space="preserve">’ in </w:t>
      </w:r>
      <w:r w:rsidR="00A9226B" w:rsidRPr="00A9226B">
        <w:rPr>
          <w:i/>
        </w:rPr>
        <w:t>Cities of God</w:t>
      </w:r>
      <w:r w:rsidR="006A0F79">
        <w:t xml:space="preserve"> in a fashion that ‘bears some relation to the late-fourth- and early-fifth-century Bishop of Hippo’ but does not purport to be a ‘true interpretation’.</w:t>
      </w:r>
      <w:r w:rsidR="006A0F79">
        <w:rPr>
          <w:rStyle w:val="FootnoteReference"/>
        </w:rPr>
        <w:footnoteReference w:id="40"/>
      </w:r>
      <w:r w:rsidR="006A0F79">
        <w:t xml:space="preserve"> Othe</w:t>
      </w:r>
      <w:r w:rsidR="00A9226B">
        <w:t>rs often</w:t>
      </w:r>
      <w:r w:rsidR="006A0F79">
        <w:t xml:space="preserve"> fail to provide </w:t>
      </w:r>
      <w:r w:rsidR="00A9226B">
        <w:t>such</w:t>
      </w:r>
      <w:r w:rsidR="006A0F79">
        <w:t xml:space="preserve"> caveats, however, leaving hostages to fortune and, at worst, cloaking </w:t>
      </w:r>
      <w:r w:rsidR="00A9226B">
        <w:t>simplistic interpretation</w:t>
      </w:r>
      <w:r w:rsidR="006A0F79">
        <w:t xml:space="preserve"> under the </w:t>
      </w:r>
      <w:proofErr w:type="spellStart"/>
      <w:r w:rsidR="006A0F79">
        <w:t>overwor</w:t>
      </w:r>
      <w:r w:rsidR="00A0715B">
        <w:t>n</w:t>
      </w:r>
      <w:proofErr w:type="spellEnd"/>
      <w:r w:rsidR="00A0715B">
        <w:t xml:space="preserve"> postmodern mantle of textual i</w:t>
      </w:r>
      <w:r w:rsidR="006A0F79">
        <w:t>nstability.</w:t>
      </w:r>
    </w:p>
    <w:p w:rsidR="006A0F79" w:rsidRDefault="00067AEC" w:rsidP="006A0F79">
      <w:pPr>
        <w:spacing w:after="0"/>
        <w:ind w:firstLine="720"/>
      </w:pPr>
      <w:r w:rsidRPr="006A0F79">
        <w:t xml:space="preserve">Third, Milbank reflects on how best to </w:t>
      </w:r>
      <w:r w:rsidR="00B728F0">
        <w:t>understand</w:t>
      </w:r>
      <w:r w:rsidRPr="006A0F79">
        <w:t xml:space="preserve"> the principle of mediation that is key to an analogical understanding of being. An alternative to ‘non-identica</w:t>
      </w:r>
      <w:r w:rsidR="009A5921" w:rsidRPr="006A0F79">
        <w:t xml:space="preserve">l </w:t>
      </w:r>
      <w:r w:rsidRPr="006A0F79">
        <w:t>repetition’ is, he suggests, habit</w:t>
      </w:r>
      <w:r w:rsidR="009A5921" w:rsidRPr="006A0F79">
        <w:t xml:space="preserve">. This he attributes not simply—nor even perhaps, primarily—to humans, but to the world as a whole, making possible a ‘nuanced version of </w:t>
      </w:r>
      <w:proofErr w:type="spellStart"/>
      <w:r w:rsidR="009A5921" w:rsidRPr="006A0F79">
        <w:t>panpsyc</w:t>
      </w:r>
      <w:r w:rsidR="00E447A4" w:rsidRPr="006A0F79">
        <w:t>h</w:t>
      </w:r>
      <w:r w:rsidR="009A5921" w:rsidRPr="006A0F79">
        <w:t>ic</w:t>
      </w:r>
      <w:proofErr w:type="spellEnd"/>
      <w:r w:rsidR="009A5921" w:rsidRPr="006A0F79">
        <w:t xml:space="preserve"> </w:t>
      </w:r>
      <w:proofErr w:type="spellStart"/>
      <w:r w:rsidR="009A5921" w:rsidRPr="006A0F79">
        <w:t>vitalism</w:t>
      </w:r>
      <w:proofErr w:type="spellEnd"/>
      <w:r w:rsidR="009A5921" w:rsidRPr="006A0F79">
        <w:t xml:space="preserve"> in which a self-organising power operates with different degrees of intensity at every level of physical reality from the inorganic to the consciously rational</w:t>
      </w:r>
      <w:r w:rsidR="00E447A4" w:rsidRPr="006A0F79">
        <w:t>’.</w:t>
      </w:r>
      <w:r w:rsidR="00E447A4" w:rsidRPr="006A0F79">
        <w:rPr>
          <w:rStyle w:val="FootnoteReference"/>
        </w:rPr>
        <w:footnoteReference w:id="41"/>
      </w:r>
      <w:r w:rsidR="00E447A4" w:rsidRPr="006A0F79">
        <w:t xml:space="preserve"> This ‘assists the re-thinking of metaphysical realism in an era aware of temporality, evolution and historicity’.</w:t>
      </w:r>
      <w:r w:rsidR="00E447A4" w:rsidRPr="006A0F79">
        <w:rPr>
          <w:rStyle w:val="FootnoteReference"/>
        </w:rPr>
        <w:footnoteReference w:id="42"/>
      </w:r>
    </w:p>
    <w:p w:rsidR="00961F76" w:rsidRDefault="007F26BC" w:rsidP="00321851">
      <w:pPr>
        <w:spacing w:after="0"/>
      </w:pPr>
      <w:r>
        <w:tab/>
        <w:t xml:space="preserve">Milbank thus addresses several key growth areas for </w:t>
      </w:r>
      <w:r w:rsidR="00E75E17">
        <w:t>Radical</w:t>
      </w:r>
      <w:r w:rsidR="00656FDE">
        <w:t xml:space="preserve"> Orthodoxy</w:t>
      </w:r>
      <w:r>
        <w:t xml:space="preserve">. In combination, his proposals </w:t>
      </w:r>
      <w:r w:rsidR="00A0715B">
        <w:t>satisfy</w:t>
      </w:r>
      <w:r>
        <w:t xml:space="preserve"> </w:t>
      </w:r>
      <w:r w:rsidR="00B728F0">
        <w:t>many</w:t>
      </w:r>
      <w:r>
        <w:t xml:space="preserve"> of the areas of concern that I myself have had about </w:t>
      </w:r>
      <w:r w:rsidR="00E75E17">
        <w:t>Radical</w:t>
      </w:r>
      <w:r w:rsidR="00656FDE">
        <w:t xml:space="preserve"> Orthodoxy</w:t>
      </w:r>
      <w:r>
        <w:t xml:space="preserve">: </w:t>
      </w:r>
      <w:r w:rsidR="004B43F9">
        <w:t>its sometimes</w:t>
      </w:r>
      <w:r>
        <w:t xml:space="preserve"> simplistic historiography</w:t>
      </w:r>
      <w:r w:rsidR="004B43F9">
        <w:t>; neglect or disdain of</w:t>
      </w:r>
      <w:r>
        <w:t xml:space="preserve"> materiality</w:t>
      </w:r>
      <w:r w:rsidR="00A26AAA">
        <w:t>, bound up with a sometimes confused concept of participation as a principle not of hierarchic metaphysical order</w:t>
      </w:r>
      <w:r w:rsidR="00992A8E">
        <w:t xml:space="preserve"> (as in </w:t>
      </w:r>
      <w:proofErr w:type="spellStart"/>
      <w:r w:rsidR="00992A8E">
        <w:t>Neoplatonism</w:t>
      </w:r>
      <w:proofErr w:type="spellEnd"/>
      <w:r w:rsidR="00992A8E">
        <w:t>)</w:t>
      </w:r>
      <w:r w:rsidR="00A26AAA">
        <w:t xml:space="preserve"> but of random </w:t>
      </w:r>
      <w:r w:rsidR="00992A8E">
        <w:t xml:space="preserve">postmodern </w:t>
      </w:r>
      <w:r w:rsidR="00061935">
        <w:t xml:space="preserve">mutuality and </w:t>
      </w:r>
      <w:r w:rsidR="00A26AAA">
        <w:t>flux</w:t>
      </w:r>
      <w:r w:rsidR="00493569">
        <w:t>;</w:t>
      </w:r>
      <w:r>
        <w:t xml:space="preserve"> and an unwillingness to engage seriously </w:t>
      </w:r>
      <w:r w:rsidR="004B43F9">
        <w:t xml:space="preserve">with </w:t>
      </w:r>
      <w:r>
        <w:t xml:space="preserve">key </w:t>
      </w:r>
      <w:r w:rsidR="00A26AAA">
        <w:t>objective aspect</w:t>
      </w:r>
      <w:r>
        <w:t>s of</w:t>
      </w:r>
      <w:r w:rsidR="00A26AAA">
        <w:t xml:space="preserve"> the current worldview that do not fit easily within the </w:t>
      </w:r>
      <w:r w:rsidR="004B43F9">
        <w:t xml:space="preserve">anti-scientific </w:t>
      </w:r>
      <w:r w:rsidR="00A26AAA">
        <w:t xml:space="preserve">narrative of </w:t>
      </w:r>
      <w:proofErr w:type="spellStart"/>
      <w:r w:rsidR="00A26AAA">
        <w:t>postmodernity</w:t>
      </w:r>
      <w:proofErr w:type="spellEnd"/>
      <w:r w:rsidR="00A26AAA">
        <w:t>, such as evolution.</w:t>
      </w:r>
      <w:r w:rsidR="00992A8E">
        <w:t xml:space="preserve"> If colleagues and acolytes are willing </w:t>
      </w:r>
      <w:r w:rsidR="00A0715B">
        <w:t xml:space="preserve">and able </w:t>
      </w:r>
      <w:r w:rsidR="00992A8E">
        <w:t xml:space="preserve">to accept these </w:t>
      </w:r>
      <w:proofErr w:type="spellStart"/>
      <w:r w:rsidR="00992A8E">
        <w:t>wa</w:t>
      </w:r>
      <w:r w:rsidR="00656FDE">
        <w:t>ymarks</w:t>
      </w:r>
      <w:proofErr w:type="spellEnd"/>
      <w:r w:rsidR="00656FDE">
        <w:t xml:space="preserve"> in their own work, then Radi</w:t>
      </w:r>
      <w:r w:rsidR="00E75E17">
        <w:t>c</w:t>
      </w:r>
      <w:r w:rsidR="00656FDE">
        <w:t>al Orthodoxy</w:t>
      </w:r>
      <w:r w:rsidR="00992A8E">
        <w:t xml:space="preserve"> has real potential to </w:t>
      </w:r>
      <w:r w:rsidR="00992A8E">
        <w:lastRenderedPageBreak/>
        <w:t xml:space="preserve">continue to develop along lines that are intellectually </w:t>
      </w:r>
      <w:r w:rsidR="00A13C1D">
        <w:t>credible</w:t>
      </w:r>
      <w:r w:rsidR="00992A8E">
        <w:t xml:space="preserve"> and </w:t>
      </w:r>
      <w:r w:rsidR="00B728F0">
        <w:t xml:space="preserve">that </w:t>
      </w:r>
      <w:r w:rsidR="00992A8E">
        <w:t>sp</w:t>
      </w:r>
      <w:r w:rsidR="00217EF8">
        <w:t>eak</w:t>
      </w:r>
      <w:r w:rsidR="008D2081">
        <w:t xml:space="preserve"> to the realities of current lif</w:t>
      </w:r>
      <w:r w:rsidR="00217EF8">
        <w:t>e</w:t>
      </w:r>
      <w:r w:rsidR="00992A8E">
        <w:t>.</w:t>
      </w:r>
    </w:p>
    <w:p w:rsidR="006A0F79" w:rsidRDefault="006A0F79" w:rsidP="002A4347">
      <w:pPr>
        <w:spacing w:after="0"/>
        <w:ind w:firstLine="720"/>
      </w:pPr>
      <w:r>
        <w:t>Nevertheless</w:t>
      </w:r>
      <w:r w:rsidR="00182330">
        <w:t xml:space="preserve">, </w:t>
      </w:r>
      <w:r w:rsidR="00E75E17">
        <w:t>Radical</w:t>
      </w:r>
      <w:r w:rsidR="00656FDE">
        <w:t xml:space="preserve"> Orthodoxy</w:t>
      </w:r>
      <w:r w:rsidR="00182330">
        <w:t xml:space="preserve"> would benefit from </w:t>
      </w:r>
      <w:r w:rsidR="00A13C1D">
        <w:t>giv</w:t>
      </w:r>
      <w:r w:rsidR="00182330">
        <w:t>ing</w:t>
      </w:r>
      <w:r w:rsidR="00A13C1D">
        <w:t xml:space="preserve"> closer attention to </w:t>
      </w:r>
      <w:r w:rsidR="00A0715B">
        <w:t xml:space="preserve">the </w:t>
      </w:r>
      <w:r w:rsidR="00A13C1D">
        <w:t xml:space="preserve">concrete </w:t>
      </w:r>
      <w:r w:rsidR="00182330">
        <w:t xml:space="preserve">material </w:t>
      </w:r>
      <w:r w:rsidR="00A13C1D">
        <w:t>practice</w:t>
      </w:r>
      <w:r w:rsidR="00182330">
        <w:t xml:space="preserve">s that have shaped Christian sensibility, such as food and </w:t>
      </w:r>
      <w:r w:rsidR="00A0715B">
        <w:t>eating</w:t>
      </w:r>
      <w:r w:rsidR="00182330">
        <w:t>, and to the history of those practices</w:t>
      </w:r>
      <w:r w:rsidR="00A13C1D">
        <w:t>.</w:t>
      </w:r>
      <w:r w:rsidR="00182330">
        <w:t xml:space="preserve"> There is a need to move beyond critical theory</w:t>
      </w:r>
      <w:r w:rsidR="00A13C1D">
        <w:t xml:space="preserve"> </w:t>
      </w:r>
      <w:r w:rsidR="00FC2DF9">
        <w:t xml:space="preserve">to </w:t>
      </w:r>
      <w:r w:rsidR="00A0715B">
        <w:t xml:space="preserve">undertake </w:t>
      </w:r>
      <w:r w:rsidR="00FC2DF9">
        <w:t>works of detailed historical recovery</w:t>
      </w:r>
      <w:r w:rsidR="000F4CDB">
        <w:t xml:space="preserve">—indeed, this would seem to be </w:t>
      </w:r>
      <w:r w:rsidR="00BF435E">
        <w:t>a corollary of</w:t>
      </w:r>
      <w:r w:rsidR="000F4CDB">
        <w:t xml:space="preserve"> the attempts </w:t>
      </w:r>
      <w:r w:rsidR="00BF435E">
        <w:t>by</w:t>
      </w:r>
      <w:r w:rsidR="000F4CDB">
        <w:t xml:space="preserve"> both </w:t>
      </w:r>
      <w:proofErr w:type="spellStart"/>
      <w:r w:rsidR="000F4CDB">
        <w:t>Pickstock</w:t>
      </w:r>
      <w:proofErr w:type="spellEnd"/>
      <w:r w:rsidR="000F4CDB">
        <w:t xml:space="preserve"> and Milbank to deconstruct the metaphysics of ‘the present’</w:t>
      </w:r>
      <w:r w:rsidR="00FC2DF9">
        <w:t xml:space="preserve">. Take, for instance, a recent study of </w:t>
      </w:r>
      <w:r w:rsidR="00A13C1D">
        <w:t>food</w:t>
      </w:r>
      <w:r w:rsidR="00A0715B">
        <w:t xml:space="preserve"> published in the</w:t>
      </w:r>
      <w:r w:rsidR="0019636B">
        <w:t xml:space="preserve"> ‘Illuminations’ series</w:t>
      </w:r>
      <w:r w:rsidR="00497C2F">
        <w:t>, which</w:t>
      </w:r>
      <w:r w:rsidR="002F0D2A">
        <w:t xml:space="preserve"> </w:t>
      </w:r>
      <w:r w:rsidR="00FC2DF9">
        <w:t xml:space="preserve">offers sophisticated theoretical reflections on </w:t>
      </w:r>
      <w:r w:rsidR="002F0D2A">
        <w:t xml:space="preserve">the relationships </w:t>
      </w:r>
      <w:r w:rsidR="0019636B">
        <w:t>between food, the body, culture and</w:t>
      </w:r>
      <w:r w:rsidR="002F0D2A">
        <w:t xml:space="preserve"> society by </w:t>
      </w:r>
      <w:r w:rsidR="007658F4">
        <w:t>treating food primarily as a semiotic system</w:t>
      </w:r>
      <w:r w:rsidR="002F0D2A">
        <w:t xml:space="preserve">. </w:t>
      </w:r>
      <w:r w:rsidR="007658F4">
        <w:t xml:space="preserve">For example, in the Mexican </w:t>
      </w:r>
      <w:proofErr w:type="spellStart"/>
      <w:r w:rsidR="007658F4" w:rsidRPr="007658F4">
        <w:rPr>
          <w:i/>
        </w:rPr>
        <w:t>molli</w:t>
      </w:r>
      <w:proofErr w:type="spellEnd"/>
      <w:r w:rsidR="007658F4">
        <w:t xml:space="preserve"> dish, the mixing of chilli and chocolate </w:t>
      </w:r>
      <w:r w:rsidR="00A0715B">
        <w:t>is presented</w:t>
      </w:r>
      <w:r w:rsidR="007658F4">
        <w:t xml:space="preserve"> as a metaphor for the blending of divine desire and human desire in Christian life.</w:t>
      </w:r>
      <w:r w:rsidR="007658F4">
        <w:rPr>
          <w:rStyle w:val="FootnoteReference"/>
        </w:rPr>
        <w:footnoteReference w:id="43"/>
      </w:r>
      <w:r w:rsidR="007658F4">
        <w:t xml:space="preserve"> </w:t>
      </w:r>
      <w:r w:rsidR="00765F2F">
        <w:t>Moreover, taste contributes to an ‘</w:t>
      </w:r>
      <w:proofErr w:type="spellStart"/>
      <w:r w:rsidR="00765F2F">
        <w:t>eros</w:t>
      </w:r>
      <w:proofErr w:type="spellEnd"/>
      <w:r w:rsidR="00765F2F">
        <w:t xml:space="preserve"> of </w:t>
      </w:r>
      <w:proofErr w:type="spellStart"/>
      <w:r w:rsidR="00765F2F">
        <w:t>cogniton</w:t>
      </w:r>
      <w:proofErr w:type="spellEnd"/>
      <w:r w:rsidR="00765F2F">
        <w:t>’ that combines knowing (</w:t>
      </w:r>
      <w:proofErr w:type="spellStart"/>
      <w:r w:rsidR="00765F2F" w:rsidRPr="00765F2F">
        <w:rPr>
          <w:i/>
        </w:rPr>
        <w:t>saber</w:t>
      </w:r>
      <w:proofErr w:type="spellEnd"/>
      <w:r w:rsidR="00765F2F">
        <w:t>) and savouring (</w:t>
      </w:r>
      <w:proofErr w:type="spellStart"/>
      <w:r w:rsidR="00765F2F" w:rsidRPr="00765F2F">
        <w:rPr>
          <w:i/>
        </w:rPr>
        <w:t>sabor</w:t>
      </w:r>
      <w:proofErr w:type="spellEnd"/>
      <w:r w:rsidR="00765F2F">
        <w:t>)</w:t>
      </w:r>
      <w:r w:rsidR="000279AE">
        <w:t xml:space="preserve"> and ultimately transmutes into the </w:t>
      </w:r>
      <w:proofErr w:type="spellStart"/>
      <w:r w:rsidR="000279AE">
        <w:t>gastroeroticism</w:t>
      </w:r>
      <w:proofErr w:type="spellEnd"/>
      <w:r w:rsidR="000279AE">
        <w:t xml:space="preserve"> of eucharistic desire</w:t>
      </w:r>
      <w:r w:rsidR="00765F2F">
        <w:t>.</w:t>
      </w:r>
      <w:r w:rsidR="000279AE">
        <w:rPr>
          <w:rStyle w:val="FootnoteReference"/>
        </w:rPr>
        <w:footnoteReference w:id="44"/>
      </w:r>
      <w:r w:rsidR="00765F2F">
        <w:t xml:space="preserve"> </w:t>
      </w:r>
      <w:r w:rsidR="00A0715B">
        <w:t>What this study</w:t>
      </w:r>
      <w:r w:rsidR="002F0D2A">
        <w:t xml:space="preserve"> lacks, however, is any acknowledgement or </w:t>
      </w:r>
      <w:proofErr w:type="spellStart"/>
      <w:r w:rsidR="002F0D2A">
        <w:t>reappropriation</w:t>
      </w:r>
      <w:proofErr w:type="spellEnd"/>
      <w:r w:rsidR="002F0D2A">
        <w:t xml:space="preserve"> of the wealth of Christian dietary practice on which pr</w:t>
      </w:r>
      <w:r w:rsidR="0019636B">
        <w:t>esent-day Christians might draw</w:t>
      </w:r>
      <w:r w:rsidR="00C83349">
        <w:t xml:space="preserve">, </w:t>
      </w:r>
      <w:r w:rsidR="00A0715B">
        <w:t>ignoring even</w:t>
      </w:r>
      <w:r w:rsidR="00C83349">
        <w:t xml:space="preserve"> the historic dietary disciplines of the author’s own religious order, the Dominicans</w:t>
      </w:r>
      <w:r w:rsidR="002F0D2A">
        <w:t xml:space="preserve">. A historical narrative of food in Christian tradition </w:t>
      </w:r>
      <w:r w:rsidR="00B84287">
        <w:t>would, in contrast, be likely to</w:t>
      </w:r>
      <w:r w:rsidR="00FC2DF9">
        <w:t xml:space="preserve"> </w:t>
      </w:r>
      <w:r w:rsidR="0004362A">
        <w:t>cover</w:t>
      </w:r>
      <w:r w:rsidR="002F0D2A">
        <w:t xml:space="preserve"> </w:t>
      </w:r>
      <w:r w:rsidR="002768AC">
        <w:t>its root</w:t>
      </w:r>
      <w:r w:rsidR="006873B9">
        <w:t>s in scripture, hermitic asceticism</w:t>
      </w:r>
      <w:r w:rsidR="002768AC">
        <w:t xml:space="preserve"> and monastic moderation, mendicant </w:t>
      </w:r>
      <w:r w:rsidR="00B84287">
        <w:t xml:space="preserve">dietary poverty and </w:t>
      </w:r>
      <w:r w:rsidR="00517FD8">
        <w:t>flexibility, the seasonal calendar of feasts and fasts, civic regulation of fasts,</w:t>
      </w:r>
      <w:r w:rsidR="0004362A">
        <w:t xml:space="preserve"> the R</w:t>
      </w:r>
      <w:r w:rsidR="00EA4BF8">
        <w:t>eformers’ recasting of</w:t>
      </w:r>
      <w:r w:rsidR="006E405C">
        <w:t xml:space="preserve"> fast</w:t>
      </w:r>
      <w:r w:rsidR="00EA4BF8">
        <w:t>ing</w:t>
      </w:r>
      <w:r w:rsidR="006E405C">
        <w:t xml:space="preserve"> as a personal choice, and the role of Christians in giving birth to modern vegetarianism</w:t>
      </w:r>
      <w:r w:rsidR="00EA4BF8">
        <w:t>.</w:t>
      </w:r>
      <w:r w:rsidR="006E405C">
        <w:rPr>
          <w:rStyle w:val="FootnoteReference"/>
        </w:rPr>
        <w:footnoteReference w:id="45"/>
      </w:r>
    </w:p>
    <w:p w:rsidR="00337C82" w:rsidRDefault="005E4623" w:rsidP="00321851">
      <w:pPr>
        <w:spacing w:after="0"/>
      </w:pPr>
      <w:r>
        <w:tab/>
      </w:r>
      <w:r w:rsidR="00C20BDA">
        <w:t>Almost finally</w:t>
      </w:r>
      <w:r w:rsidR="00656FDE">
        <w:t xml:space="preserve">, a word on scripture. </w:t>
      </w:r>
      <w:r w:rsidR="00E75E17">
        <w:t>Radical</w:t>
      </w:r>
      <w:r w:rsidR="00656FDE">
        <w:t xml:space="preserve"> Orthodoxy</w:t>
      </w:r>
      <w:r w:rsidR="00535A21">
        <w:t xml:space="preserve"> has repeatedly been charged with</w:t>
      </w:r>
      <w:r>
        <w:t xml:space="preserve"> </w:t>
      </w:r>
      <w:r w:rsidR="00535A21">
        <w:t>episodic engagement</w:t>
      </w:r>
      <w:r>
        <w:t xml:space="preserve"> with </w:t>
      </w:r>
      <w:r w:rsidR="00497C2F">
        <w:t>this key source of Christian theology</w:t>
      </w:r>
      <w:r w:rsidR="002375ED">
        <w:t xml:space="preserve">. There are some </w:t>
      </w:r>
      <w:r>
        <w:t>e</w:t>
      </w:r>
      <w:r w:rsidR="00535A21">
        <w:t xml:space="preserve">xceptions, </w:t>
      </w:r>
      <w:r w:rsidR="00825DC3">
        <w:t>especially</w:t>
      </w:r>
      <w:r w:rsidR="00535A21">
        <w:t xml:space="preserve"> Ward’s </w:t>
      </w:r>
      <w:r w:rsidR="00535A21">
        <w:rPr>
          <w:i/>
        </w:rPr>
        <w:t>Christ and Culture</w:t>
      </w:r>
      <w:r w:rsidR="002A4347">
        <w:t xml:space="preserve"> and a few select essays by Milbank.</w:t>
      </w:r>
      <w:r w:rsidR="002A4347">
        <w:rPr>
          <w:rStyle w:val="FootnoteReference"/>
        </w:rPr>
        <w:footnoteReference w:id="46"/>
      </w:r>
      <w:r>
        <w:t xml:space="preserve"> </w:t>
      </w:r>
      <w:r w:rsidR="002A4347">
        <w:t>But it is true that</w:t>
      </w:r>
      <w:r>
        <w:t xml:space="preserve"> </w:t>
      </w:r>
      <w:r w:rsidR="00E75E17">
        <w:t>Radical</w:t>
      </w:r>
      <w:r w:rsidR="00656FDE">
        <w:t xml:space="preserve"> Orthodoxy</w:t>
      </w:r>
      <w:r w:rsidR="002A4347">
        <w:t xml:space="preserve"> is founded more</w:t>
      </w:r>
      <w:r>
        <w:t xml:space="preserve"> on critical </w:t>
      </w:r>
      <w:r w:rsidR="002A4347">
        <w:t xml:space="preserve">and linguistic </w:t>
      </w:r>
      <w:r>
        <w:t>philosophy</w:t>
      </w:r>
      <w:r w:rsidR="002A4347">
        <w:t xml:space="preserve"> than on Christian scripture. </w:t>
      </w:r>
      <w:r w:rsidR="000E1EC6">
        <w:t xml:space="preserve">At the very least, scripture is read through particular interpretive lenses in </w:t>
      </w:r>
      <w:r w:rsidR="008C0082">
        <w:t>order</w:t>
      </w:r>
      <w:r w:rsidR="000E1EC6">
        <w:t xml:space="preserve"> to</w:t>
      </w:r>
      <w:r w:rsidR="008C0082">
        <w:t xml:space="preserve"> promote</w:t>
      </w:r>
      <w:r w:rsidR="000E1EC6">
        <w:t xml:space="preserve"> </w:t>
      </w:r>
      <w:r w:rsidR="00825DC3">
        <w:t>predefined</w:t>
      </w:r>
      <w:r w:rsidR="000E1EC6">
        <w:t xml:space="preserve"> projects, rather than scriptural reading being an enterprise pursued for its own sake. </w:t>
      </w:r>
      <w:r w:rsidR="002A4347">
        <w:t xml:space="preserve">This seems strange, given </w:t>
      </w:r>
      <w:r w:rsidR="00825DC3">
        <w:t>Radical Orthodoxy’s</w:t>
      </w:r>
      <w:r w:rsidR="002A4347">
        <w:t xml:space="preserve"> repeated and entirely valid</w:t>
      </w:r>
      <w:r>
        <w:t xml:space="preserve"> </w:t>
      </w:r>
      <w:r w:rsidR="002A4347">
        <w:t>protests</w:t>
      </w:r>
      <w:r>
        <w:t xml:space="preserve"> that </w:t>
      </w:r>
      <w:r w:rsidR="00F140EA">
        <w:t xml:space="preserve">much </w:t>
      </w:r>
      <w:r>
        <w:t>theology</w:t>
      </w:r>
      <w:r w:rsidR="00F140EA">
        <w:t xml:space="preserve"> of recent decades</w:t>
      </w:r>
      <w:r>
        <w:t xml:space="preserve"> </w:t>
      </w:r>
      <w:r w:rsidR="0004362A">
        <w:t>has sold</w:t>
      </w:r>
      <w:r w:rsidR="002A4347">
        <w:t xml:space="preserve"> out </w:t>
      </w:r>
      <w:r>
        <w:t>to sec</w:t>
      </w:r>
      <w:r w:rsidR="002A4347">
        <w:t>ular concepts and methodologies</w:t>
      </w:r>
      <w:r>
        <w:t>.</w:t>
      </w:r>
      <w:r w:rsidR="00825DC3">
        <w:t xml:space="preserve"> But </w:t>
      </w:r>
      <w:r w:rsidR="00497C2F">
        <w:t>it</w:t>
      </w:r>
      <w:r w:rsidR="00825DC3">
        <w:t xml:space="preserve"> could equally </w:t>
      </w:r>
      <w:r w:rsidR="00497C2F">
        <w:t xml:space="preserve">be </w:t>
      </w:r>
      <w:r w:rsidR="00825DC3">
        <w:t>argue</w:t>
      </w:r>
      <w:r w:rsidR="00497C2F">
        <w:t>d</w:t>
      </w:r>
      <w:r w:rsidR="00825DC3">
        <w:t xml:space="preserve"> that Radical Orthodoxy’s partiality in using scripture is a fact of </w:t>
      </w:r>
      <w:r w:rsidR="00825DC3" w:rsidRPr="00825DC3">
        <w:rPr>
          <w:i/>
        </w:rPr>
        <w:t>all</w:t>
      </w:r>
      <w:r w:rsidR="00825DC3">
        <w:t xml:space="preserve"> scriptural reading, and that by laying out its hermeneutics more explicitly than many other interpreters, it is using scripture more honestly</w:t>
      </w:r>
      <w:r w:rsidR="00E304BC">
        <w:t xml:space="preserve"> than at least some critics</w:t>
      </w:r>
      <w:r w:rsidR="002A4347">
        <w:t>.</w:t>
      </w:r>
      <w:r w:rsidR="00E304BC">
        <w:t xml:space="preserve"> Moreover, scripture is inseparable from wider Christian tradition</w:t>
      </w:r>
      <w:r w:rsidR="00214A3C">
        <w:t>, which</w:t>
      </w:r>
      <w:r w:rsidR="00E304BC">
        <w:t xml:space="preserve"> has </w:t>
      </w:r>
      <w:r w:rsidR="00214A3C">
        <w:t>bequeathed</w:t>
      </w:r>
      <w:r w:rsidR="00E304BC">
        <w:t xml:space="preserve"> </w:t>
      </w:r>
      <w:r w:rsidR="00214A3C">
        <w:t xml:space="preserve">to </w:t>
      </w:r>
      <w:r w:rsidR="00E304BC">
        <w:t>modern secular culture</w:t>
      </w:r>
      <w:r w:rsidR="00214A3C">
        <w:t xml:space="preserve"> an array of practices and histories ripe for </w:t>
      </w:r>
      <w:proofErr w:type="spellStart"/>
      <w:r w:rsidR="00214A3C">
        <w:t>reinscription</w:t>
      </w:r>
      <w:proofErr w:type="spellEnd"/>
      <w:r w:rsidR="00214A3C">
        <w:t xml:space="preserve"> within a Christian narrative informed by scripture.</w:t>
      </w:r>
      <w:r w:rsidR="00A968FE" w:rsidRPr="00A968FE">
        <w:t xml:space="preserve"> </w:t>
      </w:r>
      <w:r w:rsidR="00A968FE">
        <w:t xml:space="preserve">Ward’s work especially reminds us of the </w:t>
      </w:r>
      <w:r w:rsidR="00214A3C">
        <w:t xml:space="preserve">huge </w:t>
      </w:r>
      <w:r w:rsidR="00F140EA">
        <w:t>potential</w:t>
      </w:r>
      <w:r w:rsidR="00214A3C">
        <w:t xml:space="preserve"> provided </w:t>
      </w:r>
      <w:r w:rsidR="00F140EA">
        <w:t>by material</w:t>
      </w:r>
      <w:r w:rsidR="00214A3C">
        <w:t xml:space="preserve"> culture </w:t>
      </w:r>
      <w:r w:rsidR="00262555">
        <w:t>for engagement by theologians and biblical scholars working in partnership.</w:t>
      </w:r>
      <w:r w:rsidR="00214A3C">
        <w:t xml:space="preserve"> </w:t>
      </w:r>
    </w:p>
    <w:p w:rsidR="00CD540D" w:rsidRDefault="00CD540D" w:rsidP="00321851">
      <w:pPr>
        <w:spacing w:after="0"/>
      </w:pPr>
    </w:p>
    <w:p w:rsidR="006E6778" w:rsidRDefault="00561395" w:rsidP="00321851">
      <w:pPr>
        <w:spacing w:after="0"/>
      </w:pPr>
      <w:r>
        <w:t>Readers wishing to enter further into Radical Orthodoxy could do a lot worse than obtain one of three recent, accessible volumes previously c</w:t>
      </w:r>
      <w:r w:rsidR="006E6778">
        <w:t>ite</w:t>
      </w:r>
      <w:r>
        <w:t xml:space="preserve">d: Ward’s </w:t>
      </w:r>
      <w:r w:rsidR="00547017">
        <w:rPr>
          <w:i/>
        </w:rPr>
        <w:t>Politics of</w:t>
      </w:r>
      <w:r w:rsidRPr="00561395">
        <w:rPr>
          <w:i/>
        </w:rPr>
        <w:t xml:space="preserve"> Discipleship</w:t>
      </w:r>
      <w:r>
        <w:t xml:space="preserve">, Milbank’s </w:t>
      </w:r>
      <w:r w:rsidRPr="00561395">
        <w:rPr>
          <w:i/>
        </w:rPr>
        <w:t>Future of Love</w:t>
      </w:r>
      <w:r>
        <w:t xml:space="preserve">, or the </w:t>
      </w:r>
      <w:r w:rsidRPr="00561395">
        <w:rPr>
          <w:i/>
        </w:rPr>
        <w:t>Reader</w:t>
      </w:r>
      <w:r>
        <w:t>.</w:t>
      </w:r>
      <w:r w:rsidR="006E6778">
        <w:t xml:space="preserve"> </w:t>
      </w:r>
      <w:r w:rsidR="00547017">
        <w:t>Ward’s most recent work can be seen as completing the triptych beg</w:t>
      </w:r>
      <w:r w:rsidR="00497C2F">
        <w:t>u</w:t>
      </w:r>
      <w:r w:rsidR="00547017">
        <w:t xml:space="preserve">n with </w:t>
      </w:r>
      <w:r w:rsidR="00547017" w:rsidRPr="00547017">
        <w:rPr>
          <w:i/>
        </w:rPr>
        <w:t>Cities of God</w:t>
      </w:r>
      <w:r w:rsidR="00547017">
        <w:t xml:space="preserve"> and </w:t>
      </w:r>
      <w:r w:rsidR="00547017" w:rsidRPr="00547017">
        <w:rPr>
          <w:i/>
        </w:rPr>
        <w:t>Cultural Transformation</w:t>
      </w:r>
      <w:r w:rsidR="00547017">
        <w:t xml:space="preserve">, </w:t>
      </w:r>
      <w:r w:rsidR="00497C2F">
        <w:t>speak</w:t>
      </w:r>
      <w:r w:rsidR="00547017">
        <w:t xml:space="preserve">ing from where the theologian must </w:t>
      </w:r>
      <w:r w:rsidR="00547017">
        <w:lastRenderedPageBreak/>
        <w:t xml:space="preserve">now </w:t>
      </w:r>
      <w:r w:rsidR="00497C2F">
        <w:t>stand</w:t>
      </w:r>
      <w:r w:rsidR="00547017">
        <w:t xml:space="preserve">. Milbank’s collection, though spanning a wider period, is similarly engaged. </w:t>
      </w:r>
      <w:r>
        <w:t xml:space="preserve">Moreover, three collections of </w:t>
      </w:r>
      <w:r w:rsidR="006E6778">
        <w:t>encounters</w:t>
      </w:r>
      <w:r>
        <w:t xml:space="preserve"> between Radical Orthodoxy and different Christian denominations</w:t>
      </w:r>
      <w:r w:rsidR="00A16F9B">
        <w:t xml:space="preserve"> provide an alternative way in</w:t>
      </w:r>
      <w:r w:rsidR="006E6778">
        <w:t>.</w:t>
      </w:r>
      <w:r w:rsidR="006E6778">
        <w:rPr>
          <w:rStyle w:val="FootnoteReference"/>
        </w:rPr>
        <w:footnoteReference w:id="47"/>
      </w:r>
      <w:r>
        <w:t xml:space="preserve"> </w:t>
      </w:r>
      <w:r w:rsidR="00BF2983">
        <w:t xml:space="preserve">But a </w:t>
      </w:r>
      <w:r w:rsidR="00497C2F">
        <w:t>risk</w:t>
      </w:r>
      <w:r w:rsidR="00BF2983">
        <w:t xml:space="preserve"> of these latter approaches is that they encourage a view of Radical Orthodoxy as a single, homogenous movement. </w:t>
      </w:r>
      <w:r>
        <w:t xml:space="preserve">In this introductory </w:t>
      </w:r>
      <w:r w:rsidR="00161031">
        <w:t>article</w:t>
      </w:r>
      <w:r>
        <w:t xml:space="preserve">, </w:t>
      </w:r>
      <w:r w:rsidR="00BF2983">
        <w:t xml:space="preserve">although </w:t>
      </w:r>
      <w:r>
        <w:t xml:space="preserve">I have </w:t>
      </w:r>
      <w:r w:rsidR="00BF2983">
        <w:t>identified</w:t>
      </w:r>
      <w:r>
        <w:t xml:space="preserve"> </w:t>
      </w:r>
      <w:r w:rsidR="00BF2983">
        <w:t>overarching</w:t>
      </w:r>
      <w:r>
        <w:t xml:space="preserve"> features and developments</w:t>
      </w:r>
      <w:r w:rsidR="00BF2983">
        <w:t>, I have also highlighted the diversity of Radical Orthodoxy even among its best-known representatives</w:t>
      </w:r>
      <w:r w:rsidR="00161031">
        <w:t>. To leave maximum space for thi</w:t>
      </w:r>
      <w:r>
        <w:t>s</w:t>
      </w:r>
      <w:r w:rsidR="00161031">
        <w:t xml:space="preserve"> task</w:t>
      </w:r>
      <w:r>
        <w:t xml:space="preserve">, I have skated over </w:t>
      </w:r>
      <w:r w:rsidR="009B758E">
        <w:t>a whole series of</w:t>
      </w:r>
      <w:r>
        <w:t xml:space="preserve"> complex</w:t>
      </w:r>
      <w:r w:rsidR="009B758E">
        <w:t xml:space="preserve"> and contestable</w:t>
      </w:r>
      <w:r>
        <w:t xml:space="preserve"> concepts and </w:t>
      </w:r>
      <w:r w:rsidR="00602E22">
        <w:t>excurses</w:t>
      </w:r>
      <w:r>
        <w:t xml:space="preserve">, </w:t>
      </w:r>
      <w:r w:rsidR="00A16F9B">
        <w:t xml:space="preserve">as </w:t>
      </w:r>
      <w:r>
        <w:t xml:space="preserve">anyone who picks up </w:t>
      </w:r>
      <w:r w:rsidRPr="00561395">
        <w:rPr>
          <w:i/>
        </w:rPr>
        <w:t>Being Reconciled</w:t>
      </w:r>
      <w:r>
        <w:t xml:space="preserve"> or </w:t>
      </w:r>
      <w:r w:rsidRPr="00561395">
        <w:rPr>
          <w:i/>
        </w:rPr>
        <w:t>After Writing</w:t>
      </w:r>
      <w:r>
        <w:t xml:space="preserve"> will quickly discover. </w:t>
      </w:r>
      <w:r w:rsidR="00A16F9B">
        <w:t xml:space="preserve">This is because, notwithstanding faults </w:t>
      </w:r>
      <w:r w:rsidR="00E328FA">
        <w:t xml:space="preserve">identified by </w:t>
      </w:r>
      <w:r w:rsidR="00A16F9B">
        <w:t>various critics, Radical Orthodoxy remains an important new theological sensibility and phenomenon</w:t>
      </w:r>
      <w:r w:rsidR="00161031">
        <w:t>—indeed, the only new direction taken since the 1960s deemed worth covering in this series. Its</w:t>
      </w:r>
      <w:r w:rsidR="00602E22">
        <w:t xml:space="preserve"> interpretive power needs to be grasped alongside possible </w:t>
      </w:r>
      <w:r w:rsidR="00161031">
        <w:t>weaknesses</w:t>
      </w:r>
      <w:r w:rsidR="00602E22">
        <w:t>.</w:t>
      </w:r>
      <w:r w:rsidR="00602E22" w:rsidRPr="00602E22">
        <w:t xml:space="preserve"> </w:t>
      </w:r>
      <w:r w:rsidR="00161031">
        <w:t>Radical Orthodoxy</w:t>
      </w:r>
      <w:r w:rsidR="00602E22">
        <w:t xml:space="preserve"> can be embraced or rejected, but not ignored.</w:t>
      </w:r>
    </w:p>
    <w:p w:rsidR="00B50967" w:rsidRDefault="00B50967" w:rsidP="00321851">
      <w:pPr>
        <w:spacing w:after="0"/>
      </w:pPr>
    </w:p>
    <w:p w:rsidR="00B50967" w:rsidRDefault="00B50967" w:rsidP="00B50967">
      <w:pPr>
        <w:rPr>
          <w:u w:val="single"/>
        </w:rPr>
      </w:pPr>
      <w:r w:rsidRPr="000F6995">
        <w:rPr>
          <w:u w:val="single"/>
        </w:rPr>
        <w:t>Further Reading</w:t>
      </w:r>
    </w:p>
    <w:p w:rsidR="00B50967" w:rsidRPr="000F6995" w:rsidRDefault="00B50967" w:rsidP="00B50967">
      <w:pPr>
        <w:rPr>
          <w:u w:val="single"/>
        </w:rPr>
      </w:pPr>
    </w:p>
    <w:p w:rsidR="00B50967" w:rsidRPr="00D42E95" w:rsidRDefault="00B50967" w:rsidP="00B50967">
      <w:r w:rsidRPr="00D42E95">
        <w:t xml:space="preserve">Milbank, John. </w:t>
      </w:r>
      <w:r w:rsidRPr="00D42E95">
        <w:rPr>
          <w:i/>
        </w:rPr>
        <w:t>The Future of Love: Essays in Political Theology</w:t>
      </w:r>
      <w:r w:rsidRPr="00D42E95">
        <w:t xml:space="preserve"> (London: SCM, 2009).</w:t>
      </w:r>
      <w:r>
        <w:t xml:space="preserve"> *</w:t>
      </w:r>
    </w:p>
    <w:p w:rsidR="00B50967" w:rsidRPr="00D42E95" w:rsidRDefault="00B50967" w:rsidP="00B50967">
      <w:r w:rsidRPr="00D42E95">
        <w:t xml:space="preserve">———. </w:t>
      </w:r>
      <w:r w:rsidRPr="00D42E95">
        <w:rPr>
          <w:i/>
        </w:rPr>
        <w:t xml:space="preserve">The Suspended Middle: Henri de </w:t>
      </w:r>
      <w:proofErr w:type="spellStart"/>
      <w:r w:rsidRPr="00D42E95">
        <w:rPr>
          <w:i/>
        </w:rPr>
        <w:t>Lubac</w:t>
      </w:r>
      <w:proofErr w:type="spellEnd"/>
      <w:r w:rsidRPr="00D42E95">
        <w:rPr>
          <w:i/>
        </w:rPr>
        <w:t xml:space="preserve"> and the Debate Concerning the Supernatural</w:t>
      </w:r>
      <w:r w:rsidRPr="00D42E95">
        <w:t xml:space="preserve"> (Grand Rapids, MI: </w:t>
      </w:r>
      <w:proofErr w:type="spellStart"/>
      <w:r w:rsidRPr="00D42E95">
        <w:t>Eerdmans</w:t>
      </w:r>
      <w:proofErr w:type="spellEnd"/>
      <w:r w:rsidRPr="00D42E95">
        <w:t>, 2005).</w:t>
      </w:r>
    </w:p>
    <w:p w:rsidR="00B50967" w:rsidRPr="00D42E95" w:rsidRDefault="00B50967" w:rsidP="00B50967">
      <w:r w:rsidRPr="00D42E95">
        <w:t xml:space="preserve">———. </w:t>
      </w:r>
      <w:r w:rsidRPr="00D42E95">
        <w:rPr>
          <w:i/>
        </w:rPr>
        <w:t>Being Reconciled: Ontology and Pardon</w:t>
      </w:r>
      <w:r w:rsidRPr="00D42E95">
        <w:t xml:space="preserve"> (London: </w:t>
      </w:r>
      <w:proofErr w:type="spellStart"/>
      <w:r w:rsidRPr="00D42E95">
        <w:t>Routledge</w:t>
      </w:r>
      <w:proofErr w:type="spellEnd"/>
      <w:r w:rsidRPr="00D42E95">
        <w:t>, 2003).</w:t>
      </w:r>
    </w:p>
    <w:p w:rsidR="00B50967" w:rsidRPr="00D42E95" w:rsidRDefault="00B50967" w:rsidP="00B50967">
      <w:r w:rsidRPr="00D42E95">
        <w:t xml:space="preserve">Milbank, John and Catherine </w:t>
      </w:r>
      <w:proofErr w:type="spellStart"/>
      <w:r w:rsidRPr="00D42E95">
        <w:t>Pickstock</w:t>
      </w:r>
      <w:proofErr w:type="spellEnd"/>
      <w:r w:rsidRPr="00D42E95">
        <w:t xml:space="preserve">. </w:t>
      </w:r>
      <w:r w:rsidRPr="00D42E95">
        <w:rPr>
          <w:i/>
        </w:rPr>
        <w:t>Truth in Aquinas</w:t>
      </w:r>
      <w:r w:rsidRPr="00D42E95">
        <w:t xml:space="preserve"> (London: </w:t>
      </w:r>
      <w:proofErr w:type="spellStart"/>
      <w:r w:rsidRPr="00D42E95">
        <w:t>Routledge</w:t>
      </w:r>
      <w:proofErr w:type="spellEnd"/>
      <w:r w:rsidRPr="00D42E95">
        <w:t>, 2001).</w:t>
      </w:r>
    </w:p>
    <w:p w:rsidR="00B50967" w:rsidRPr="00D42E95" w:rsidRDefault="00B50967" w:rsidP="00B50967">
      <w:pPr>
        <w:rPr>
          <w:i/>
        </w:rPr>
      </w:pPr>
      <w:proofErr w:type="spellStart"/>
      <w:r w:rsidRPr="00D42E95">
        <w:t>Pickstock</w:t>
      </w:r>
      <w:proofErr w:type="spellEnd"/>
      <w:r w:rsidRPr="00D42E95">
        <w:t xml:space="preserve">, Catherine. </w:t>
      </w:r>
      <w:r w:rsidRPr="00D42E95">
        <w:rPr>
          <w:i/>
        </w:rPr>
        <w:t>After Writing: On the Liturgical Consummation of Philosophy</w:t>
      </w:r>
      <w:r w:rsidRPr="00D42E95">
        <w:t xml:space="preserve"> (Oxford: Blackwell, 1997).</w:t>
      </w:r>
    </w:p>
    <w:p w:rsidR="00B50967" w:rsidRPr="00D42E95" w:rsidRDefault="00B50967" w:rsidP="00B50967">
      <w:r w:rsidRPr="00D42E95">
        <w:rPr>
          <w:i/>
        </w:rPr>
        <w:t>Radical Orthodoxy: A New Theology</w:t>
      </w:r>
      <w:r w:rsidRPr="00D42E95">
        <w:t xml:space="preserve">, </w:t>
      </w:r>
      <w:proofErr w:type="spellStart"/>
      <w:r w:rsidRPr="00D42E95">
        <w:t>eds</w:t>
      </w:r>
      <w:proofErr w:type="spellEnd"/>
      <w:r w:rsidRPr="00D42E95">
        <w:t xml:space="preserve"> John Milbank, Catherine </w:t>
      </w:r>
      <w:proofErr w:type="spellStart"/>
      <w:r w:rsidRPr="00D42E95">
        <w:t>Pickstock</w:t>
      </w:r>
      <w:proofErr w:type="spellEnd"/>
      <w:r w:rsidRPr="00D42E95">
        <w:t xml:space="preserve"> and Graham Ward (London: </w:t>
      </w:r>
      <w:proofErr w:type="spellStart"/>
      <w:r w:rsidRPr="00D42E95">
        <w:t>Routledge</w:t>
      </w:r>
      <w:proofErr w:type="spellEnd"/>
      <w:r w:rsidRPr="00D42E95">
        <w:t>, 1999).</w:t>
      </w:r>
    </w:p>
    <w:p w:rsidR="00B50967" w:rsidRPr="00D42E95" w:rsidRDefault="00B50967" w:rsidP="00B50967">
      <w:r w:rsidRPr="00D42E95">
        <w:rPr>
          <w:i/>
        </w:rPr>
        <w:t>The Radical Orthodoxy Reader</w:t>
      </w:r>
      <w:r w:rsidRPr="00D42E95">
        <w:t xml:space="preserve">, </w:t>
      </w:r>
      <w:proofErr w:type="spellStart"/>
      <w:r w:rsidRPr="00D42E95">
        <w:t>eds</w:t>
      </w:r>
      <w:proofErr w:type="spellEnd"/>
      <w:r w:rsidRPr="00D42E95">
        <w:t xml:space="preserve"> John Milbank and Simon Oliver (London: </w:t>
      </w:r>
      <w:proofErr w:type="spellStart"/>
      <w:r w:rsidRPr="00D42E95">
        <w:t>Routledge</w:t>
      </w:r>
      <w:proofErr w:type="spellEnd"/>
      <w:r w:rsidRPr="00D42E95">
        <w:t>, 2009).</w:t>
      </w:r>
      <w:r>
        <w:t xml:space="preserve"> *</w:t>
      </w:r>
    </w:p>
    <w:p w:rsidR="00B50967" w:rsidRDefault="00B50967" w:rsidP="00B50967">
      <w:r w:rsidRPr="00D42E95">
        <w:t xml:space="preserve">Shakespeare, Steven. </w:t>
      </w:r>
      <w:r w:rsidRPr="00D42E95">
        <w:rPr>
          <w:i/>
        </w:rPr>
        <w:t>Radical Orthodoxy: A Critical Introduction</w:t>
      </w:r>
      <w:r w:rsidRPr="00D42E95">
        <w:t xml:space="preserve"> (London: SPCK, 2007).</w:t>
      </w:r>
      <w:r>
        <w:t xml:space="preserve"> *</w:t>
      </w:r>
    </w:p>
    <w:p w:rsidR="00B50967" w:rsidRPr="00D42E95" w:rsidRDefault="00B50967" w:rsidP="00B50967">
      <w:r>
        <w:t xml:space="preserve">Smith, James K.A. </w:t>
      </w:r>
      <w:r w:rsidRPr="00690AED">
        <w:rPr>
          <w:i/>
        </w:rPr>
        <w:t>Introducing Radical Orthodoxy: Mapping a Post-secular Theology</w:t>
      </w:r>
      <w:r>
        <w:rPr>
          <w:i/>
        </w:rPr>
        <w:t xml:space="preserve"> </w:t>
      </w:r>
      <w:r>
        <w:t>(Grand Rapids, MI: Baker, 2004).</w:t>
      </w:r>
    </w:p>
    <w:p w:rsidR="00B50967" w:rsidRPr="00D42E95" w:rsidRDefault="00B50967" w:rsidP="00B50967">
      <w:r w:rsidRPr="00D42E95">
        <w:t xml:space="preserve">Ward, Graham. </w:t>
      </w:r>
      <w:r w:rsidRPr="00D42E95">
        <w:rPr>
          <w:i/>
        </w:rPr>
        <w:t xml:space="preserve">The Politics of Discipleship: Becoming </w:t>
      </w:r>
      <w:proofErr w:type="spellStart"/>
      <w:r w:rsidRPr="00D42E95">
        <w:rPr>
          <w:i/>
        </w:rPr>
        <w:t>Postmaterial</w:t>
      </w:r>
      <w:proofErr w:type="spellEnd"/>
      <w:r w:rsidRPr="00D42E95">
        <w:rPr>
          <w:i/>
        </w:rPr>
        <w:t xml:space="preserve"> Citizens</w:t>
      </w:r>
      <w:r w:rsidRPr="00D42E95">
        <w:t xml:space="preserve"> (London: SCM, 2009).</w:t>
      </w:r>
      <w:r>
        <w:t xml:space="preserve"> *</w:t>
      </w:r>
    </w:p>
    <w:p w:rsidR="00B50967" w:rsidRPr="00D42E95" w:rsidRDefault="00B50967" w:rsidP="00B50967">
      <w:r w:rsidRPr="00D42E95">
        <w:t xml:space="preserve">———. </w:t>
      </w:r>
      <w:r w:rsidRPr="00D42E95">
        <w:rPr>
          <w:i/>
        </w:rPr>
        <w:t>Christ and Culture</w:t>
      </w:r>
      <w:r w:rsidRPr="00D42E95">
        <w:t xml:space="preserve"> (London: Blackwell, 2005).</w:t>
      </w:r>
    </w:p>
    <w:p w:rsidR="00B50967" w:rsidRPr="00D42E95" w:rsidRDefault="00B50967" w:rsidP="00B50967">
      <w:r w:rsidRPr="00D42E95">
        <w:t>———.</w:t>
      </w:r>
      <w:r w:rsidRPr="00D42E95">
        <w:rPr>
          <w:i/>
        </w:rPr>
        <w:t xml:space="preserve"> Cultural Transformation and Religious Practice</w:t>
      </w:r>
      <w:r w:rsidRPr="00D42E95">
        <w:t xml:space="preserve"> (Cambridge University Press, 2005)</w:t>
      </w:r>
    </w:p>
    <w:p w:rsidR="00B50967" w:rsidRPr="00D42E95" w:rsidRDefault="00B50967" w:rsidP="00B50967">
      <w:r w:rsidRPr="00D42E95">
        <w:lastRenderedPageBreak/>
        <w:t xml:space="preserve">———. </w:t>
      </w:r>
      <w:r w:rsidRPr="00D42E95">
        <w:rPr>
          <w:i/>
        </w:rPr>
        <w:t>True Religion</w:t>
      </w:r>
      <w:r w:rsidRPr="00D42E95">
        <w:t xml:space="preserve"> (Malden, MA: Blackwell, 2003)</w:t>
      </w:r>
    </w:p>
    <w:p w:rsidR="00B50967" w:rsidRDefault="00B50967" w:rsidP="00B50967">
      <w:r w:rsidRPr="00D42E95">
        <w:t xml:space="preserve">———. </w:t>
      </w:r>
      <w:r w:rsidRPr="00D42E95">
        <w:rPr>
          <w:i/>
        </w:rPr>
        <w:t>Cities of God</w:t>
      </w:r>
      <w:r w:rsidRPr="00D42E95">
        <w:t xml:space="preserve"> (London: </w:t>
      </w:r>
      <w:proofErr w:type="spellStart"/>
      <w:r w:rsidRPr="00D42E95">
        <w:t>Routledge</w:t>
      </w:r>
      <w:proofErr w:type="spellEnd"/>
      <w:r w:rsidRPr="00D42E95">
        <w:t>, 2000).</w:t>
      </w:r>
    </w:p>
    <w:p w:rsidR="00B50967" w:rsidRDefault="00B50967" w:rsidP="00B50967"/>
    <w:p w:rsidR="00B50967" w:rsidRPr="00D42E95" w:rsidRDefault="00B50967" w:rsidP="00B50967">
      <w:r>
        <w:t>Items marked * provide an accessible introduction.</w:t>
      </w:r>
    </w:p>
    <w:p w:rsidR="00B50967" w:rsidRPr="00BA2962" w:rsidRDefault="00B50967" w:rsidP="00321851">
      <w:pPr>
        <w:spacing w:after="0"/>
      </w:pPr>
    </w:p>
    <w:sectPr w:rsidR="00B50967" w:rsidRPr="00BA2962" w:rsidSect="00FE3628">
      <w:footerReference w:type="default" r:id="rId7"/>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C96" w:rsidRDefault="00252C96" w:rsidP="00A212CD">
      <w:pPr>
        <w:spacing w:after="0" w:line="240" w:lineRule="auto"/>
      </w:pPr>
      <w:r>
        <w:separator/>
      </w:r>
    </w:p>
  </w:endnote>
  <w:endnote w:type="continuationSeparator" w:id="0">
    <w:p w:rsidR="00252C96" w:rsidRDefault="00252C96" w:rsidP="00A21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1344"/>
      <w:docPartObj>
        <w:docPartGallery w:val="Page Numbers (Bottom of Page)"/>
        <w:docPartUnique/>
      </w:docPartObj>
    </w:sdtPr>
    <w:sdtContent>
      <w:p w:rsidR="00790B19" w:rsidRDefault="00F2297A">
        <w:pPr>
          <w:pStyle w:val="Footer"/>
          <w:jc w:val="center"/>
        </w:pPr>
        <w:fldSimple w:instr=" PAGE   \* MERGEFORMAT ">
          <w:r w:rsidR="00B50967">
            <w:rPr>
              <w:noProof/>
            </w:rPr>
            <w:t>10</w:t>
          </w:r>
        </w:fldSimple>
      </w:p>
    </w:sdtContent>
  </w:sdt>
  <w:p w:rsidR="00790B19" w:rsidRDefault="00790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C96" w:rsidRDefault="00252C96" w:rsidP="00A212CD">
      <w:pPr>
        <w:spacing w:after="0" w:line="240" w:lineRule="auto"/>
      </w:pPr>
      <w:r>
        <w:separator/>
      </w:r>
    </w:p>
  </w:footnote>
  <w:footnote w:type="continuationSeparator" w:id="0">
    <w:p w:rsidR="00252C96" w:rsidRDefault="00252C96" w:rsidP="00A212CD">
      <w:pPr>
        <w:spacing w:after="0" w:line="240" w:lineRule="auto"/>
      </w:pPr>
      <w:r>
        <w:continuationSeparator/>
      </w:r>
    </w:p>
  </w:footnote>
  <w:footnote w:id="1">
    <w:p w:rsidR="00790B19" w:rsidRDefault="00790B19" w:rsidP="00547017">
      <w:pPr>
        <w:pStyle w:val="FootnoteText"/>
      </w:pPr>
      <w:r>
        <w:rPr>
          <w:rStyle w:val="FootnoteReference"/>
        </w:rPr>
        <w:footnoteRef/>
      </w:r>
      <w:r>
        <w:t xml:space="preserve"> </w:t>
      </w:r>
      <w:r>
        <w:rPr>
          <w:i/>
        </w:rPr>
        <w:t>Radical Orthodoxy</w:t>
      </w:r>
      <w:r w:rsidRPr="00337C82">
        <w:rPr>
          <w:i/>
        </w:rPr>
        <w:t>: A New Theology</w:t>
      </w:r>
      <w:r>
        <w:t xml:space="preserve">, </w:t>
      </w:r>
      <w:proofErr w:type="spellStart"/>
      <w:r>
        <w:t>eds</w:t>
      </w:r>
      <w:proofErr w:type="spellEnd"/>
      <w:r>
        <w:t xml:space="preserve"> John Milbank, Catherine </w:t>
      </w:r>
      <w:proofErr w:type="spellStart"/>
      <w:r>
        <w:t>Pickstock</w:t>
      </w:r>
      <w:proofErr w:type="spellEnd"/>
      <w:r>
        <w:t xml:space="preserve"> and Graham Ward (London: </w:t>
      </w:r>
      <w:proofErr w:type="spellStart"/>
      <w:r>
        <w:t>Routledge</w:t>
      </w:r>
      <w:proofErr w:type="spellEnd"/>
      <w:r>
        <w:t>, 1999), 1.</w:t>
      </w:r>
    </w:p>
  </w:footnote>
  <w:footnote w:id="2">
    <w:p w:rsidR="00790B19" w:rsidRDefault="00790B19" w:rsidP="00547017">
      <w:pPr>
        <w:pStyle w:val="FootnoteText"/>
      </w:pPr>
      <w:r>
        <w:rPr>
          <w:rStyle w:val="FootnoteReference"/>
        </w:rPr>
        <w:footnoteRef/>
      </w:r>
      <w:r>
        <w:t xml:space="preserve"> John Milbank, </w:t>
      </w:r>
      <w:r w:rsidRPr="004E112E">
        <w:rPr>
          <w:i/>
        </w:rPr>
        <w:t xml:space="preserve">The Suspended Middle: Henri de </w:t>
      </w:r>
      <w:proofErr w:type="spellStart"/>
      <w:r w:rsidRPr="004E112E">
        <w:rPr>
          <w:i/>
        </w:rPr>
        <w:t>Lubac</w:t>
      </w:r>
      <w:proofErr w:type="spellEnd"/>
      <w:r w:rsidRPr="004E112E">
        <w:rPr>
          <w:i/>
        </w:rPr>
        <w:t xml:space="preserve"> and the Debate Concerning the Supernatural</w:t>
      </w:r>
      <w:r>
        <w:t xml:space="preserve"> (Grand Rapids, MI: </w:t>
      </w:r>
      <w:proofErr w:type="spellStart"/>
      <w:r>
        <w:t>Eerdmans</w:t>
      </w:r>
      <w:proofErr w:type="spellEnd"/>
      <w:r>
        <w:t xml:space="preserve">, 2005), 108; see my review in </w:t>
      </w:r>
      <w:r>
        <w:rPr>
          <w:i/>
          <w:iCs/>
        </w:rPr>
        <w:t>New Blackfriars</w:t>
      </w:r>
      <w:r>
        <w:t xml:space="preserve"> 87 (2006), 198–9.</w:t>
      </w:r>
    </w:p>
  </w:footnote>
  <w:footnote w:id="3">
    <w:p w:rsidR="00790B19" w:rsidRDefault="00790B19" w:rsidP="00547017">
      <w:pPr>
        <w:pStyle w:val="FootnoteText"/>
      </w:pPr>
      <w:r>
        <w:rPr>
          <w:rStyle w:val="FootnoteReference"/>
        </w:rPr>
        <w:footnoteRef/>
      </w:r>
      <w:r>
        <w:t xml:space="preserve"> See further David Grumett, </w:t>
      </w:r>
      <w:r w:rsidRPr="008B4862">
        <w:rPr>
          <w:i/>
        </w:rPr>
        <w:t xml:space="preserve">Henri de </w:t>
      </w:r>
      <w:proofErr w:type="spellStart"/>
      <w:r w:rsidRPr="008B4862">
        <w:rPr>
          <w:i/>
        </w:rPr>
        <w:t>Lubac</w:t>
      </w:r>
      <w:proofErr w:type="spellEnd"/>
      <w:r w:rsidRPr="008B4862">
        <w:rPr>
          <w:i/>
        </w:rPr>
        <w:t>: A Guide for the Perplexed</w:t>
      </w:r>
      <w:r>
        <w:t xml:space="preserve"> (London: T&amp;T Clark, 2007), 15–16.</w:t>
      </w:r>
    </w:p>
  </w:footnote>
  <w:footnote w:id="4">
    <w:p w:rsidR="00790B19" w:rsidRDefault="00790B19" w:rsidP="00547017">
      <w:pPr>
        <w:pStyle w:val="FootnoteText"/>
      </w:pPr>
      <w:r>
        <w:rPr>
          <w:rStyle w:val="FootnoteReference"/>
        </w:rPr>
        <w:footnoteRef/>
      </w:r>
      <w:r>
        <w:t xml:space="preserve"> John Milbank, </w:t>
      </w:r>
      <w:r w:rsidRPr="004E112E">
        <w:rPr>
          <w:i/>
        </w:rPr>
        <w:t>Being Reconciled: Ontology and Pardon</w:t>
      </w:r>
      <w:r>
        <w:t xml:space="preserve"> (London: </w:t>
      </w:r>
      <w:proofErr w:type="spellStart"/>
      <w:r>
        <w:t>Routledge</w:t>
      </w:r>
      <w:proofErr w:type="spellEnd"/>
      <w:r>
        <w:t xml:space="preserve">, 2003), 28; also idem, </w:t>
      </w:r>
      <w:r w:rsidRPr="004E112E">
        <w:rPr>
          <w:i/>
        </w:rPr>
        <w:t>The Future of Love: Essays in Political Theology</w:t>
      </w:r>
      <w:r>
        <w:t xml:space="preserve"> (London: SCM, 2009), 223–41, on the aftermath of the events of 11 September 2001, and 352–63 on the gift.</w:t>
      </w:r>
    </w:p>
  </w:footnote>
  <w:footnote w:id="5">
    <w:p w:rsidR="00790B19" w:rsidRDefault="00790B19" w:rsidP="00547017">
      <w:pPr>
        <w:pStyle w:val="FootnoteText"/>
      </w:pPr>
      <w:r>
        <w:rPr>
          <w:rStyle w:val="FootnoteReference"/>
        </w:rPr>
        <w:footnoteRef/>
      </w:r>
      <w:r>
        <w:t xml:space="preserve"> Milbank, </w:t>
      </w:r>
      <w:r w:rsidRPr="004E112E">
        <w:rPr>
          <w:i/>
        </w:rPr>
        <w:t>Being Reconciled</w:t>
      </w:r>
      <w:r>
        <w:t>, 48, 60.</w:t>
      </w:r>
    </w:p>
  </w:footnote>
  <w:footnote w:id="6">
    <w:p w:rsidR="00790B19" w:rsidRPr="00831051" w:rsidRDefault="00790B19" w:rsidP="00547017">
      <w:pPr>
        <w:pStyle w:val="FootnoteText"/>
      </w:pPr>
      <w:r>
        <w:rPr>
          <w:rStyle w:val="FootnoteReference"/>
        </w:rPr>
        <w:footnoteRef/>
      </w:r>
      <w:r>
        <w:t xml:space="preserve"> Milbank, </w:t>
      </w:r>
      <w:r w:rsidRPr="004E112E">
        <w:rPr>
          <w:i/>
        </w:rPr>
        <w:t>Being Reconciled</w:t>
      </w:r>
      <w:r>
        <w:t>, 186.</w:t>
      </w:r>
    </w:p>
  </w:footnote>
  <w:footnote w:id="7">
    <w:p w:rsidR="00790B19" w:rsidRDefault="00790B19" w:rsidP="00547017">
      <w:pPr>
        <w:pStyle w:val="FootnoteText"/>
      </w:pPr>
      <w:r>
        <w:rPr>
          <w:rStyle w:val="FootnoteReference"/>
        </w:rPr>
        <w:footnoteRef/>
      </w:r>
      <w:r>
        <w:t xml:space="preserve"> Milbank, </w:t>
      </w:r>
      <w:r w:rsidRPr="004E112E">
        <w:rPr>
          <w:i/>
        </w:rPr>
        <w:t>Being Reconciled</w:t>
      </w:r>
      <w:r>
        <w:t>, 196.</w:t>
      </w:r>
    </w:p>
  </w:footnote>
  <w:footnote w:id="8">
    <w:p w:rsidR="00790B19" w:rsidRDefault="00790B19" w:rsidP="00547017">
      <w:pPr>
        <w:pStyle w:val="FootnoteText"/>
      </w:pPr>
      <w:r>
        <w:rPr>
          <w:rStyle w:val="FootnoteReference"/>
        </w:rPr>
        <w:footnoteRef/>
      </w:r>
      <w:r>
        <w:t xml:space="preserve"> Milbank, </w:t>
      </w:r>
      <w:r w:rsidRPr="004E112E">
        <w:rPr>
          <w:i/>
        </w:rPr>
        <w:t>Future</w:t>
      </w:r>
      <w:r>
        <w:t>, 197–220.</w:t>
      </w:r>
    </w:p>
  </w:footnote>
  <w:footnote w:id="9">
    <w:p w:rsidR="00790B19" w:rsidRDefault="00790B19" w:rsidP="00547017">
      <w:pPr>
        <w:pStyle w:val="FootnoteText"/>
      </w:pPr>
      <w:r>
        <w:rPr>
          <w:rStyle w:val="FootnoteReference"/>
        </w:rPr>
        <w:footnoteRef/>
      </w:r>
      <w:r>
        <w:t xml:space="preserve"> Milbank, </w:t>
      </w:r>
      <w:r w:rsidRPr="003B0A42">
        <w:rPr>
          <w:i/>
        </w:rPr>
        <w:t>Future</w:t>
      </w:r>
      <w:r>
        <w:t>, 242–63.</w:t>
      </w:r>
    </w:p>
  </w:footnote>
  <w:footnote w:id="10">
    <w:p w:rsidR="00790B19" w:rsidRDefault="00790B19" w:rsidP="00547017">
      <w:pPr>
        <w:pStyle w:val="FootnoteText"/>
      </w:pPr>
      <w:r>
        <w:rPr>
          <w:rStyle w:val="FootnoteReference"/>
        </w:rPr>
        <w:footnoteRef/>
      </w:r>
      <w:r>
        <w:t xml:space="preserve"> John Milbank, ‘The double glory, or paradox versus dialectics: on not quite agreeing with </w:t>
      </w:r>
      <w:proofErr w:type="spellStart"/>
      <w:r>
        <w:t>Slavoj</w:t>
      </w:r>
      <w:proofErr w:type="spellEnd"/>
      <w:r>
        <w:t xml:space="preserve"> </w:t>
      </w:r>
      <w:proofErr w:type="spellStart"/>
      <w:r>
        <w:t>Žižek</w:t>
      </w:r>
      <w:proofErr w:type="spellEnd"/>
      <w:r>
        <w:t xml:space="preserve">’, in </w:t>
      </w:r>
      <w:proofErr w:type="spellStart"/>
      <w:r>
        <w:t>Slavoj</w:t>
      </w:r>
      <w:proofErr w:type="spellEnd"/>
      <w:r>
        <w:t xml:space="preserve"> </w:t>
      </w:r>
      <w:proofErr w:type="spellStart"/>
      <w:r>
        <w:t>Žižek</w:t>
      </w:r>
      <w:proofErr w:type="spellEnd"/>
      <w:r>
        <w:t xml:space="preserve"> and John Milbank, </w:t>
      </w:r>
      <w:r w:rsidRPr="004E112E">
        <w:rPr>
          <w:i/>
        </w:rPr>
        <w:t>The Monstrosity of Christ: Paradox or Dialectic?</w:t>
      </w:r>
      <w:r>
        <w:t>, ed. Creston Davis (Cambridge, MA: MIT, 2009), 110–233 (114).</w:t>
      </w:r>
    </w:p>
  </w:footnote>
  <w:footnote w:id="11">
    <w:p w:rsidR="00790B19" w:rsidRDefault="00790B19" w:rsidP="00547017">
      <w:pPr>
        <w:pStyle w:val="FootnoteText"/>
      </w:pPr>
      <w:r>
        <w:rPr>
          <w:rStyle w:val="FootnoteReference"/>
        </w:rPr>
        <w:footnoteRef/>
      </w:r>
      <w:r>
        <w:t xml:space="preserve"> Milbank, ‘Double glory’, 176–7.</w:t>
      </w:r>
    </w:p>
  </w:footnote>
  <w:footnote w:id="12">
    <w:p w:rsidR="00790B19" w:rsidRDefault="00790B19" w:rsidP="00547017">
      <w:pPr>
        <w:pStyle w:val="FootnoteText"/>
      </w:pPr>
      <w:r>
        <w:rPr>
          <w:rStyle w:val="FootnoteReference"/>
        </w:rPr>
        <w:footnoteRef/>
      </w:r>
      <w:r>
        <w:t xml:space="preserve"> Milbank, ‘Double glory’, 201–2.</w:t>
      </w:r>
    </w:p>
  </w:footnote>
  <w:footnote w:id="13">
    <w:p w:rsidR="00790B19" w:rsidRDefault="00790B19" w:rsidP="00547017">
      <w:pPr>
        <w:pStyle w:val="FootnoteText"/>
      </w:pPr>
      <w:r>
        <w:rPr>
          <w:rStyle w:val="FootnoteReference"/>
        </w:rPr>
        <w:footnoteRef/>
      </w:r>
      <w:r>
        <w:t xml:space="preserve"> Milbank, ‘Double glory’, 214.</w:t>
      </w:r>
    </w:p>
  </w:footnote>
  <w:footnote w:id="14">
    <w:p w:rsidR="00790B19" w:rsidRPr="0024465B" w:rsidRDefault="00790B19" w:rsidP="00547017">
      <w:pPr>
        <w:spacing w:after="0" w:line="240" w:lineRule="auto"/>
        <w:rPr>
          <w:sz w:val="20"/>
          <w:szCs w:val="20"/>
        </w:rPr>
      </w:pPr>
      <w:r w:rsidRPr="0024465B">
        <w:rPr>
          <w:rStyle w:val="FootnoteReference"/>
          <w:sz w:val="20"/>
          <w:szCs w:val="20"/>
        </w:rPr>
        <w:footnoteRef/>
      </w:r>
      <w:r w:rsidRPr="0024465B">
        <w:rPr>
          <w:sz w:val="20"/>
          <w:szCs w:val="20"/>
        </w:rPr>
        <w:t xml:space="preserve"> Graham Ward, </w:t>
      </w:r>
      <w:r w:rsidRPr="0024465B">
        <w:rPr>
          <w:i/>
          <w:sz w:val="20"/>
          <w:szCs w:val="20"/>
        </w:rPr>
        <w:t>Cities of God</w:t>
      </w:r>
      <w:r w:rsidRPr="0024465B">
        <w:rPr>
          <w:sz w:val="20"/>
          <w:szCs w:val="20"/>
        </w:rPr>
        <w:t xml:space="preserve"> </w:t>
      </w:r>
      <w:r>
        <w:rPr>
          <w:sz w:val="20"/>
          <w:szCs w:val="20"/>
        </w:rPr>
        <w:t>(</w:t>
      </w:r>
      <w:r w:rsidRPr="0024465B">
        <w:rPr>
          <w:sz w:val="20"/>
          <w:szCs w:val="20"/>
        </w:rPr>
        <w:t xml:space="preserve">London: </w:t>
      </w:r>
      <w:proofErr w:type="spellStart"/>
      <w:r w:rsidRPr="0024465B">
        <w:rPr>
          <w:sz w:val="20"/>
          <w:szCs w:val="20"/>
        </w:rPr>
        <w:t>Routledge</w:t>
      </w:r>
      <w:proofErr w:type="spellEnd"/>
      <w:r w:rsidRPr="0024465B">
        <w:rPr>
          <w:sz w:val="20"/>
          <w:szCs w:val="20"/>
        </w:rPr>
        <w:t>, 2000</w:t>
      </w:r>
      <w:r>
        <w:rPr>
          <w:sz w:val="20"/>
          <w:szCs w:val="20"/>
        </w:rPr>
        <w:t>), 3</w:t>
      </w:r>
      <w:r w:rsidRPr="0024465B">
        <w:rPr>
          <w:sz w:val="20"/>
          <w:szCs w:val="20"/>
        </w:rPr>
        <w:t>.</w:t>
      </w:r>
      <w:r>
        <w:rPr>
          <w:sz w:val="20"/>
          <w:szCs w:val="20"/>
        </w:rPr>
        <w:t xml:space="preserve"> I am very grateful to Graham for conversation about this article.</w:t>
      </w:r>
    </w:p>
  </w:footnote>
  <w:footnote w:id="15">
    <w:p w:rsidR="00790B19" w:rsidRPr="0024465B" w:rsidRDefault="00790B19" w:rsidP="00547017">
      <w:pPr>
        <w:pStyle w:val="FootnoteText"/>
      </w:pPr>
      <w:r w:rsidRPr="0024465B">
        <w:rPr>
          <w:rStyle w:val="FootnoteReference"/>
        </w:rPr>
        <w:footnoteRef/>
      </w:r>
      <w:r w:rsidRPr="0024465B">
        <w:t xml:space="preserve"> Ward </w:t>
      </w:r>
      <w:r w:rsidRPr="0024465B">
        <w:rPr>
          <w:i/>
        </w:rPr>
        <w:t>Cities</w:t>
      </w:r>
      <w:r>
        <w:t xml:space="preserve">, </w:t>
      </w:r>
      <w:r w:rsidRPr="0024465B">
        <w:t>71.</w:t>
      </w:r>
    </w:p>
  </w:footnote>
  <w:footnote w:id="16">
    <w:p w:rsidR="00790B19" w:rsidRPr="006F4AAC" w:rsidRDefault="00790B19" w:rsidP="00547017">
      <w:pPr>
        <w:pStyle w:val="FootnoteText"/>
      </w:pPr>
      <w:r w:rsidRPr="006F4AAC">
        <w:rPr>
          <w:rStyle w:val="FootnoteReference"/>
        </w:rPr>
        <w:footnoteRef/>
      </w:r>
      <w:r w:rsidRPr="006F4AAC">
        <w:t xml:space="preserve"> Ward, </w:t>
      </w:r>
      <w:r w:rsidRPr="006F4AAC">
        <w:rPr>
          <w:i/>
        </w:rPr>
        <w:t>Cities</w:t>
      </w:r>
      <w:r>
        <w:t xml:space="preserve">, </w:t>
      </w:r>
      <w:r w:rsidRPr="006F4AAC">
        <w:t>93.</w:t>
      </w:r>
    </w:p>
  </w:footnote>
  <w:footnote w:id="17">
    <w:p w:rsidR="00790B19" w:rsidRDefault="00790B19" w:rsidP="00547017">
      <w:pPr>
        <w:pStyle w:val="FootnoteText"/>
      </w:pPr>
      <w:r>
        <w:rPr>
          <w:rStyle w:val="FootnoteReference"/>
        </w:rPr>
        <w:footnoteRef/>
      </w:r>
      <w:r>
        <w:t xml:space="preserve"> Ward, </w:t>
      </w:r>
      <w:r w:rsidRPr="008536BB">
        <w:rPr>
          <w:i/>
        </w:rPr>
        <w:t>Cities</w:t>
      </w:r>
      <w:r>
        <w:t>, 125.</w:t>
      </w:r>
    </w:p>
  </w:footnote>
  <w:footnote w:id="18">
    <w:p w:rsidR="00790B19" w:rsidRDefault="00790B19" w:rsidP="00547017">
      <w:pPr>
        <w:pStyle w:val="FootnoteText"/>
      </w:pPr>
      <w:r>
        <w:rPr>
          <w:rStyle w:val="FootnoteReference"/>
        </w:rPr>
        <w:footnoteRef/>
      </w:r>
      <w:r>
        <w:t xml:space="preserve"> Ward, </w:t>
      </w:r>
      <w:r w:rsidRPr="00F320A0">
        <w:rPr>
          <w:i/>
        </w:rPr>
        <w:t>Cities</w:t>
      </w:r>
      <w:r>
        <w:t>, 247, 257.</w:t>
      </w:r>
    </w:p>
  </w:footnote>
  <w:footnote w:id="19">
    <w:p w:rsidR="00790B19" w:rsidRDefault="00790B19" w:rsidP="00547017">
      <w:pPr>
        <w:pStyle w:val="FootnoteText"/>
      </w:pPr>
      <w:r>
        <w:rPr>
          <w:rStyle w:val="FootnoteReference"/>
        </w:rPr>
        <w:footnoteRef/>
      </w:r>
      <w:r>
        <w:t xml:space="preserve"> Graham Ward, </w:t>
      </w:r>
      <w:r w:rsidRPr="004620B1">
        <w:rPr>
          <w:i/>
        </w:rPr>
        <w:t>Christ and Culture</w:t>
      </w:r>
      <w:r>
        <w:t xml:space="preserve"> (London: Blackwell, 2005), 1.</w:t>
      </w:r>
    </w:p>
  </w:footnote>
  <w:footnote w:id="20">
    <w:p w:rsidR="00790B19" w:rsidRPr="00114444" w:rsidRDefault="00790B19" w:rsidP="00547017">
      <w:pPr>
        <w:pStyle w:val="FootnoteText"/>
      </w:pPr>
      <w:r w:rsidRPr="00114444">
        <w:rPr>
          <w:rStyle w:val="FootnoteReference"/>
        </w:rPr>
        <w:footnoteRef/>
      </w:r>
      <w:r w:rsidRPr="00114444">
        <w:t xml:space="preserve"> Graham Ward, </w:t>
      </w:r>
      <w:r w:rsidRPr="00114444">
        <w:rPr>
          <w:i/>
        </w:rPr>
        <w:t>True Religion</w:t>
      </w:r>
      <w:r w:rsidRPr="00114444">
        <w:t xml:space="preserve"> (Ma</w:t>
      </w:r>
      <w:r>
        <w:t xml:space="preserve">lden, MA: Blackwell, 2003), </w:t>
      </w:r>
      <w:r w:rsidRPr="00114444">
        <w:t>132–3.</w:t>
      </w:r>
    </w:p>
  </w:footnote>
  <w:footnote w:id="21">
    <w:p w:rsidR="00790B19" w:rsidRPr="0061122F" w:rsidRDefault="00790B19" w:rsidP="00547017">
      <w:pPr>
        <w:pStyle w:val="FootnoteText"/>
      </w:pPr>
      <w:r>
        <w:rPr>
          <w:rStyle w:val="FootnoteReference"/>
        </w:rPr>
        <w:footnoteRef/>
      </w:r>
      <w:r>
        <w:t xml:space="preserve"> </w:t>
      </w:r>
      <w:r w:rsidRPr="00114444">
        <w:t xml:space="preserve">Ward, </w:t>
      </w:r>
      <w:r w:rsidRPr="00114444">
        <w:rPr>
          <w:i/>
        </w:rPr>
        <w:t>True Religion</w:t>
      </w:r>
      <w:r>
        <w:t>, 153.</w:t>
      </w:r>
    </w:p>
  </w:footnote>
  <w:footnote w:id="22">
    <w:p w:rsidR="00790B19" w:rsidRDefault="00790B19" w:rsidP="00547017">
      <w:pPr>
        <w:pStyle w:val="FootnoteText"/>
      </w:pPr>
      <w:r>
        <w:rPr>
          <w:rStyle w:val="FootnoteReference"/>
        </w:rPr>
        <w:footnoteRef/>
      </w:r>
      <w:r>
        <w:t xml:space="preserve"> See Milbank, </w:t>
      </w:r>
      <w:r w:rsidRPr="00572E1B">
        <w:rPr>
          <w:i/>
        </w:rPr>
        <w:t>Theology and Social Theory</w:t>
      </w:r>
      <w:r>
        <w:t>.</w:t>
      </w:r>
    </w:p>
  </w:footnote>
  <w:footnote w:id="23">
    <w:p w:rsidR="00790B19" w:rsidRPr="00572E1B" w:rsidRDefault="00790B19" w:rsidP="00547017">
      <w:pPr>
        <w:spacing w:after="0" w:line="240" w:lineRule="auto"/>
        <w:rPr>
          <w:sz w:val="20"/>
          <w:szCs w:val="20"/>
        </w:rPr>
      </w:pPr>
      <w:r w:rsidRPr="00572E1B">
        <w:rPr>
          <w:rStyle w:val="FootnoteReference"/>
          <w:sz w:val="20"/>
          <w:szCs w:val="20"/>
        </w:rPr>
        <w:footnoteRef/>
      </w:r>
      <w:r w:rsidRPr="00572E1B">
        <w:rPr>
          <w:sz w:val="20"/>
          <w:szCs w:val="20"/>
        </w:rPr>
        <w:t xml:space="preserve"> Graham Ward, </w:t>
      </w:r>
      <w:r w:rsidRPr="00572E1B">
        <w:rPr>
          <w:i/>
          <w:sz w:val="20"/>
          <w:szCs w:val="20"/>
        </w:rPr>
        <w:t>Cultural Transformation and Religious Practice</w:t>
      </w:r>
      <w:r w:rsidRPr="00572E1B">
        <w:rPr>
          <w:sz w:val="20"/>
          <w:szCs w:val="20"/>
        </w:rPr>
        <w:t xml:space="preserve"> </w:t>
      </w:r>
      <w:r>
        <w:rPr>
          <w:sz w:val="20"/>
          <w:szCs w:val="20"/>
        </w:rPr>
        <w:t>(</w:t>
      </w:r>
      <w:r w:rsidRPr="00572E1B">
        <w:rPr>
          <w:sz w:val="20"/>
          <w:szCs w:val="20"/>
        </w:rPr>
        <w:t>Cambridge University Press, 2005</w:t>
      </w:r>
      <w:r>
        <w:rPr>
          <w:sz w:val="20"/>
          <w:szCs w:val="20"/>
        </w:rPr>
        <w:t>), 15–57</w:t>
      </w:r>
      <w:r w:rsidRPr="00572E1B">
        <w:rPr>
          <w:sz w:val="20"/>
          <w:szCs w:val="20"/>
        </w:rPr>
        <w:t>.</w:t>
      </w:r>
    </w:p>
  </w:footnote>
  <w:footnote w:id="24">
    <w:p w:rsidR="00790B19" w:rsidRPr="005C6D78" w:rsidRDefault="00790B19" w:rsidP="00547017">
      <w:pPr>
        <w:pStyle w:val="FootnoteText"/>
      </w:pPr>
      <w:r>
        <w:rPr>
          <w:rStyle w:val="FootnoteReference"/>
        </w:rPr>
        <w:footnoteRef/>
      </w:r>
      <w:r>
        <w:t xml:space="preserve"> </w:t>
      </w:r>
      <w:r w:rsidRPr="00572E1B">
        <w:t xml:space="preserve">Ward, </w:t>
      </w:r>
      <w:r w:rsidRPr="00572E1B">
        <w:rPr>
          <w:i/>
        </w:rPr>
        <w:t>Cultural Transformation</w:t>
      </w:r>
      <w:r>
        <w:t>, 88.</w:t>
      </w:r>
    </w:p>
  </w:footnote>
  <w:footnote w:id="25">
    <w:p w:rsidR="00790B19" w:rsidRDefault="00790B19" w:rsidP="00547017">
      <w:pPr>
        <w:pStyle w:val="FootnoteText"/>
      </w:pPr>
      <w:r>
        <w:rPr>
          <w:rStyle w:val="FootnoteReference"/>
        </w:rPr>
        <w:footnoteRef/>
      </w:r>
      <w:r>
        <w:t xml:space="preserve"> Steven Shakespeare, </w:t>
      </w:r>
      <w:r>
        <w:rPr>
          <w:i/>
        </w:rPr>
        <w:t>Radical Orthodoxy</w:t>
      </w:r>
      <w:r w:rsidRPr="00882F88">
        <w:rPr>
          <w:i/>
        </w:rPr>
        <w:t>: A Critical Introduction</w:t>
      </w:r>
      <w:r>
        <w:t xml:space="preserve"> (London: SPCK, 2007).</w:t>
      </w:r>
    </w:p>
  </w:footnote>
  <w:footnote w:id="26">
    <w:p w:rsidR="00790B19" w:rsidRDefault="00790B19" w:rsidP="00547017">
      <w:pPr>
        <w:pStyle w:val="FootnoteText"/>
      </w:pPr>
      <w:r>
        <w:rPr>
          <w:rStyle w:val="FootnoteReference"/>
        </w:rPr>
        <w:footnoteRef/>
      </w:r>
      <w:r>
        <w:t xml:space="preserve"> Catherine </w:t>
      </w:r>
      <w:proofErr w:type="spellStart"/>
      <w:r>
        <w:t>Pickstock</w:t>
      </w:r>
      <w:proofErr w:type="spellEnd"/>
      <w:r>
        <w:t xml:space="preserve">, </w:t>
      </w:r>
      <w:r w:rsidRPr="00924646">
        <w:rPr>
          <w:i/>
        </w:rPr>
        <w:t>After Writing: On the Liturgical Consummation of Philosophy</w:t>
      </w:r>
      <w:r>
        <w:t xml:space="preserve"> (Oxford: Blackwell, 1997), xii.</w:t>
      </w:r>
    </w:p>
  </w:footnote>
  <w:footnote w:id="27">
    <w:p w:rsidR="00790B19" w:rsidRPr="004D5038" w:rsidRDefault="00790B19" w:rsidP="00547017">
      <w:pPr>
        <w:pStyle w:val="FootnoteText"/>
      </w:pPr>
      <w:r>
        <w:rPr>
          <w:rStyle w:val="FootnoteReference"/>
        </w:rPr>
        <w:footnoteRef/>
      </w:r>
      <w:r>
        <w:t xml:space="preserve"> </w:t>
      </w:r>
      <w:proofErr w:type="spellStart"/>
      <w:r>
        <w:t>Pickstock</w:t>
      </w:r>
      <w:proofErr w:type="spellEnd"/>
      <w:r>
        <w:t xml:space="preserve">, </w:t>
      </w:r>
      <w:r w:rsidRPr="00924646">
        <w:rPr>
          <w:i/>
        </w:rPr>
        <w:t>After Writing</w:t>
      </w:r>
      <w:r>
        <w:t>, 31.</w:t>
      </w:r>
    </w:p>
  </w:footnote>
  <w:footnote w:id="28">
    <w:p w:rsidR="00790B19" w:rsidRDefault="00790B19" w:rsidP="00547017">
      <w:pPr>
        <w:pStyle w:val="FootnoteText"/>
      </w:pPr>
      <w:r>
        <w:rPr>
          <w:rStyle w:val="FootnoteReference"/>
        </w:rPr>
        <w:footnoteRef/>
      </w:r>
      <w:r>
        <w:t xml:space="preserve"> </w:t>
      </w:r>
      <w:proofErr w:type="spellStart"/>
      <w:r>
        <w:t>Pickstock</w:t>
      </w:r>
      <w:proofErr w:type="spellEnd"/>
      <w:r>
        <w:t xml:space="preserve">, </w:t>
      </w:r>
      <w:r w:rsidRPr="00924646">
        <w:rPr>
          <w:i/>
        </w:rPr>
        <w:t>After Writing</w:t>
      </w:r>
      <w:r>
        <w:t>, 60–1.</w:t>
      </w:r>
    </w:p>
  </w:footnote>
  <w:footnote w:id="29">
    <w:p w:rsidR="00790B19" w:rsidRDefault="00790B19" w:rsidP="00547017">
      <w:pPr>
        <w:pStyle w:val="FootnoteText"/>
      </w:pPr>
      <w:r>
        <w:rPr>
          <w:rStyle w:val="FootnoteReference"/>
        </w:rPr>
        <w:footnoteRef/>
      </w:r>
      <w:r>
        <w:t xml:space="preserve"> </w:t>
      </w:r>
      <w:proofErr w:type="spellStart"/>
      <w:r>
        <w:t>Pickstock</w:t>
      </w:r>
      <w:proofErr w:type="spellEnd"/>
      <w:r>
        <w:t xml:space="preserve">, </w:t>
      </w:r>
      <w:r w:rsidRPr="00924646">
        <w:rPr>
          <w:i/>
        </w:rPr>
        <w:t>After Writing</w:t>
      </w:r>
      <w:r>
        <w:t>, 132.</w:t>
      </w:r>
    </w:p>
  </w:footnote>
  <w:footnote w:id="30">
    <w:p w:rsidR="00790B19" w:rsidRDefault="00790B19" w:rsidP="00547017">
      <w:pPr>
        <w:pStyle w:val="FootnoteText"/>
      </w:pPr>
      <w:r>
        <w:rPr>
          <w:rStyle w:val="FootnoteReference"/>
        </w:rPr>
        <w:footnoteRef/>
      </w:r>
      <w:r>
        <w:t xml:space="preserve"> </w:t>
      </w:r>
      <w:proofErr w:type="spellStart"/>
      <w:r>
        <w:t>Pickstock</w:t>
      </w:r>
      <w:proofErr w:type="spellEnd"/>
      <w:r>
        <w:t xml:space="preserve">, </w:t>
      </w:r>
      <w:r w:rsidRPr="00924646">
        <w:rPr>
          <w:i/>
        </w:rPr>
        <w:t>After Writing</w:t>
      </w:r>
      <w:r>
        <w:t>, 228–33.</w:t>
      </w:r>
    </w:p>
  </w:footnote>
  <w:footnote w:id="31">
    <w:p w:rsidR="00790B19" w:rsidRDefault="00790B19" w:rsidP="00547017">
      <w:pPr>
        <w:pStyle w:val="FootnoteText"/>
      </w:pPr>
      <w:r>
        <w:rPr>
          <w:rStyle w:val="FootnoteReference"/>
        </w:rPr>
        <w:footnoteRef/>
      </w:r>
      <w:r>
        <w:t xml:space="preserve"> </w:t>
      </w:r>
      <w:proofErr w:type="spellStart"/>
      <w:r>
        <w:t>Pickstock</w:t>
      </w:r>
      <w:proofErr w:type="spellEnd"/>
      <w:r>
        <w:t xml:space="preserve">, </w:t>
      </w:r>
      <w:r w:rsidRPr="00924646">
        <w:rPr>
          <w:i/>
        </w:rPr>
        <w:t>After Writing</w:t>
      </w:r>
      <w:r>
        <w:t>, 262.</w:t>
      </w:r>
    </w:p>
  </w:footnote>
  <w:footnote w:id="32">
    <w:p w:rsidR="00790B19" w:rsidRPr="00A71F28" w:rsidRDefault="00790B19" w:rsidP="00547017">
      <w:pPr>
        <w:spacing w:after="0" w:line="240" w:lineRule="auto"/>
        <w:rPr>
          <w:sz w:val="20"/>
          <w:szCs w:val="20"/>
        </w:rPr>
      </w:pPr>
      <w:r w:rsidRPr="00A71F28">
        <w:rPr>
          <w:rStyle w:val="FootnoteReference"/>
          <w:sz w:val="20"/>
          <w:szCs w:val="20"/>
        </w:rPr>
        <w:footnoteRef/>
      </w:r>
      <w:r w:rsidRPr="00A71F28">
        <w:rPr>
          <w:sz w:val="20"/>
          <w:szCs w:val="20"/>
        </w:rPr>
        <w:t xml:space="preserve"> John Milbank and Catherine </w:t>
      </w:r>
      <w:proofErr w:type="spellStart"/>
      <w:r w:rsidRPr="00A71F28">
        <w:rPr>
          <w:sz w:val="20"/>
          <w:szCs w:val="20"/>
        </w:rPr>
        <w:t>Pickstock</w:t>
      </w:r>
      <w:proofErr w:type="spellEnd"/>
      <w:r w:rsidRPr="00A71F28">
        <w:rPr>
          <w:sz w:val="20"/>
          <w:szCs w:val="20"/>
        </w:rPr>
        <w:t xml:space="preserve">, </w:t>
      </w:r>
      <w:r w:rsidRPr="00A71F28">
        <w:rPr>
          <w:i/>
          <w:sz w:val="20"/>
          <w:szCs w:val="20"/>
        </w:rPr>
        <w:t>Truth in Aquinas</w:t>
      </w:r>
      <w:r w:rsidRPr="00A71F28">
        <w:rPr>
          <w:sz w:val="20"/>
          <w:szCs w:val="20"/>
        </w:rPr>
        <w:t xml:space="preserve"> (London: </w:t>
      </w:r>
      <w:proofErr w:type="spellStart"/>
      <w:r w:rsidRPr="00A71F28">
        <w:rPr>
          <w:sz w:val="20"/>
          <w:szCs w:val="20"/>
        </w:rPr>
        <w:t>Routledge</w:t>
      </w:r>
      <w:proofErr w:type="spellEnd"/>
      <w:r w:rsidRPr="00A71F28">
        <w:rPr>
          <w:sz w:val="20"/>
          <w:szCs w:val="20"/>
        </w:rPr>
        <w:t>, 2001)</w:t>
      </w:r>
      <w:r>
        <w:rPr>
          <w:sz w:val="20"/>
          <w:szCs w:val="20"/>
        </w:rPr>
        <w:t>, 39–43</w:t>
      </w:r>
      <w:r w:rsidRPr="00A71F28">
        <w:rPr>
          <w:sz w:val="20"/>
          <w:szCs w:val="20"/>
        </w:rPr>
        <w:t>.</w:t>
      </w:r>
    </w:p>
  </w:footnote>
  <w:footnote w:id="33">
    <w:p w:rsidR="00790B19" w:rsidRPr="009E1910" w:rsidRDefault="00790B19" w:rsidP="00547017">
      <w:pPr>
        <w:pStyle w:val="FootnoteText"/>
      </w:pPr>
      <w:r>
        <w:rPr>
          <w:rStyle w:val="FootnoteReference"/>
        </w:rPr>
        <w:footnoteRef/>
      </w:r>
      <w:r>
        <w:t xml:space="preserve"> </w:t>
      </w:r>
      <w:r w:rsidRPr="00A71F28">
        <w:t xml:space="preserve">Milbank and </w:t>
      </w:r>
      <w:proofErr w:type="spellStart"/>
      <w:r w:rsidRPr="00A71F28">
        <w:t>Pickstock</w:t>
      </w:r>
      <w:proofErr w:type="spellEnd"/>
      <w:r w:rsidRPr="00A71F28">
        <w:t xml:space="preserve">, </w:t>
      </w:r>
      <w:r w:rsidRPr="00A71F28">
        <w:rPr>
          <w:i/>
        </w:rPr>
        <w:t>Truth</w:t>
      </w:r>
      <w:r>
        <w:t>, 60–87.</w:t>
      </w:r>
    </w:p>
  </w:footnote>
  <w:footnote w:id="34">
    <w:p w:rsidR="00790B19" w:rsidRDefault="00790B19" w:rsidP="00547017">
      <w:pPr>
        <w:pStyle w:val="FootnoteText"/>
      </w:pPr>
      <w:r>
        <w:rPr>
          <w:rStyle w:val="FootnoteReference"/>
        </w:rPr>
        <w:footnoteRef/>
      </w:r>
      <w:r>
        <w:t xml:space="preserve"> </w:t>
      </w:r>
      <w:r w:rsidRPr="00A71F28">
        <w:t xml:space="preserve">Milbank and </w:t>
      </w:r>
      <w:proofErr w:type="spellStart"/>
      <w:r w:rsidRPr="00A71F28">
        <w:t>Pickstock</w:t>
      </w:r>
      <w:proofErr w:type="spellEnd"/>
      <w:r w:rsidRPr="00A71F28">
        <w:t xml:space="preserve">, </w:t>
      </w:r>
      <w:r w:rsidRPr="00A71F28">
        <w:rPr>
          <w:i/>
        </w:rPr>
        <w:t>Truth</w:t>
      </w:r>
      <w:r>
        <w:t>, 105–11.</w:t>
      </w:r>
    </w:p>
  </w:footnote>
  <w:footnote w:id="35">
    <w:p w:rsidR="00790B19" w:rsidRPr="007F26BC" w:rsidRDefault="00790B19" w:rsidP="00547017">
      <w:pPr>
        <w:pStyle w:val="FootnoteText"/>
      </w:pPr>
      <w:r w:rsidRPr="007F26BC">
        <w:rPr>
          <w:rStyle w:val="FootnoteReference"/>
        </w:rPr>
        <w:footnoteRef/>
      </w:r>
      <w:r w:rsidRPr="007F26BC">
        <w:t xml:space="preserve"> David Grumett, ‘</w:t>
      </w:r>
      <w:proofErr w:type="spellStart"/>
      <w:r w:rsidRPr="007F26BC">
        <w:t>Blondel</w:t>
      </w:r>
      <w:proofErr w:type="spellEnd"/>
      <w:r w:rsidRPr="007F26BC">
        <w:t xml:space="preserve">, Modern Catholic Theology and the </w:t>
      </w:r>
      <w:proofErr w:type="spellStart"/>
      <w:r w:rsidRPr="007F26BC">
        <w:t>Leibnizian</w:t>
      </w:r>
      <w:proofErr w:type="spellEnd"/>
      <w:r w:rsidRPr="007F26BC">
        <w:t xml:space="preserve"> Eucharistic Bond’, </w:t>
      </w:r>
      <w:r w:rsidRPr="007F26BC">
        <w:rPr>
          <w:i/>
          <w:iCs/>
        </w:rPr>
        <w:t>Modern Theology</w:t>
      </w:r>
      <w:r w:rsidRPr="007F26BC">
        <w:rPr>
          <w:iCs/>
        </w:rPr>
        <w:t xml:space="preserve"> 23 (2007), 561–77</w:t>
      </w:r>
      <w:r>
        <w:rPr>
          <w:iCs/>
        </w:rPr>
        <w:t>.</w:t>
      </w:r>
      <w:r w:rsidRPr="007F26BC">
        <w:rPr>
          <w:iCs/>
        </w:rPr>
        <w:t xml:space="preserve"> </w:t>
      </w:r>
      <w:r>
        <w:rPr>
          <w:iCs/>
        </w:rPr>
        <w:t xml:space="preserve">See </w:t>
      </w:r>
      <w:r w:rsidRPr="007F26BC">
        <w:rPr>
          <w:iCs/>
        </w:rPr>
        <w:t xml:space="preserve">also idem, </w:t>
      </w:r>
      <w:proofErr w:type="spellStart"/>
      <w:r w:rsidRPr="007F26BC">
        <w:rPr>
          <w:i/>
        </w:rPr>
        <w:t>Teilhard</w:t>
      </w:r>
      <w:proofErr w:type="spellEnd"/>
      <w:r w:rsidRPr="007F26BC">
        <w:rPr>
          <w:i/>
        </w:rPr>
        <w:t xml:space="preserve"> de </w:t>
      </w:r>
      <w:proofErr w:type="spellStart"/>
      <w:r w:rsidRPr="007F26BC">
        <w:rPr>
          <w:i/>
        </w:rPr>
        <w:t>Chardin</w:t>
      </w:r>
      <w:proofErr w:type="spellEnd"/>
      <w:r w:rsidRPr="007F26BC">
        <w:rPr>
          <w:i/>
        </w:rPr>
        <w:t>: Theology, Humanity and Cosmos</w:t>
      </w:r>
      <w:r w:rsidRPr="007F26BC">
        <w:t xml:space="preserve"> (Leuven: Peeters, 2005)</w:t>
      </w:r>
      <w:r>
        <w:t>, 197–235</w:t>
      </w:r>
      <w:r w:rsidRPr="007F26BC">
        <w:t>.</w:t>
      </w:r>
    </w:p>
  </w:footnote>
  <w:footnote w:id="36">
    <w:p w:rsidR="00790B19" w:rsidRDefault="00790B19" w:rsidP="00547017">
      <w:pPr>
        <w:pStyle w:val="FootnoteText"/>
      </w:pPr>
      <w:r>
        <w:rPr>
          <w:rStyle w:val="FootnoteReference"/>
        </w:rPr>
        <w:footnoteRef/>
      </w:r>
      <w:r>
        <w:t xml:space="preserve"> John Milbank, ‘The grandeur of reason and the perversity of rationalism: Radical Orthodoxy’s first decade’, in </w:t>
      </w:r>
      <w:r w:rsidRPr="00961F76">
        <w:rPr>
          <w:i/>
        </w:rPr>
        <w:t xml:space="preserve">The </w:t>
      </w:r>
      <w:r>
        <w:rPr>
          <w:i/>
        </w:rPr>
        <w:t>Radical Orthodoxy</w:t>
      </w:r>
      <w:r w:rsidRPr="00961F76">
        <w:rPr>
          <w:i/>
        </w:rPr>
        <w:t xml:space="preserve"> Reader</w:t>
      </w:r>
      <w:r>
        <w:t xml:space="preserve">, </w:t>
      </w:r>
      <w:proofErr w:type="spellStart"/>
      <w:r>
        <w:t>eds</w:t>
      </w:r>
      <w:proofErr w:type="spellEnd"/>
      <w:r>
        <w:t xml:space="preserve"> John Milbank and Simon Oliver (London: </w:t>
      </w:r>
      <w:proofErr w:type="spellStart"/>
      <w:r>
        <w:t>Routledge</w:t>
      </w:r>
      <w:proofErr w:type="spellEnd"/>
      <w:r>
        <w:t>, 2009), 367–404 (391–2).</w:t>
      </w:r>
    </w:p>
  </w:footnote>
  <w:footnote w:id="37">
    <w:p w:rsidR="00790B19" w:rsidRDefault="00790B19" w:rsidP="00547017">
      <w:pPr>
        <w:pStyle w:val="FootnoteText"/>
      </w:pPr>
      <w:r>
        <w:rPr>
          <w:rStyle w:val="FootnoteReference"/>
        </w:rPr>
        <w:footnoteRef/>
      </w:r>
      <w:r>
        <w:t xml:space="preserve"> Graham Ward, </w:t>
      </w:r>
      <w:r w:rsidRPr="000C445A">
        <w:rPr>
          <w:i/>
        </w:rPr>
        <w:t>The Politics of Discipleship</w:t>
      </w:r>
      <w:r>
        <w:rPr>
          <w:i/>
        </w:rPr>
        <w:t xml:space="preserve">: Becoming </w:t>
      </w:r>
      <w:proofErr w:type="spellStart"/>
      <w:r>
        <w:rPr>
          <w:i/>
        </w:rPr>
        <w:t>Postmaterial</w:t>
      </w:r>
      <w:proofErr w:type="spellEnd"/>
      <w:r>
        <w:rPr>
          <w:i/>
        </w:rPr>
        <w:t xml:space="preserve"> Citizens</w:t>
      </w:r>
      <w:r>
        <w:t xml:space="preserve"> (London: SCM, 2009), 75.</w:t>
      </w:r>
    </w:p>
  </w:footnote>
  <w:footnote w:id="38">
    <w:p w:rsidR="00790B19" w:rsidRDefault="00790B19" w:rsidP="00547017">
      <w:pPr>
        <w:pStyle w:val="FootnoteText"/>
      </w:pPr>
      <w:r>
        <w:rPr>
          <w:rStyle w:val="FootnoteReference"/>
        </w:rPr>
        <w:footnoteRef/>
      </w:r>
      <w:r>
        <w:t xml:space="preserve"> Milbank, ‘Grandeur’, 391–2.</w:t>
      </w:r>
      <w:r w:rsidRPr="001A3094">
        <w:t xml:space="preserve"> </w:t>
      </w:r>
      <w:r>
        <w:t xml:space="preserve">Milbank speculates that de </w:t>
      </w:r>
      <w:proofErr w:type="spellStart"/>
      <w:r>
        <w:t>Lubac</w:t>
      </w:r>
      <w:proofErr w:type="spellEnd"/>
      <w:r>
        <w:t xml:space="preserve"> was ‘at least indirectly’ indebted to this French spiritual realism coming from Maine de </w:t>
      </w:r>
      <w:proofErr w:type="spellStart"/>
      <w:r>
        <w:t>Biran</w:t>
      </w:r>
      <w:proofErr w:type="spellEnd"/>
      <w:r>
        <w:t xml:space="preserve">. We can go further than that, however: correspondence and papers in </w:t>
      </w:r>
      <w:r w:rsidRPr="00F57B34">
        <w:rPr>
          <w:iCs/>
        </w:rPr>
        <w:t xml:space="preserve">Georges </w:t>
      </w:r>
      <w:proofErr w:type="spellStart"/>
      <w:r w:rsidRPr="00F57B34">
        <w:rPr>
          <w:iCs/>
        </w:rPr>
        <w:t>Chantraine</w:t>
      </w:r>
      <w:proofErr w:type="spellEnd"/>
      <w:r w:rsidRPr="00F57B34">
        <w:rPr>
          <w:iCs/>
        </w:rPr>
        <w:t xml:space="preserve">, </w:t>
      </w:r>
      <w:r w:rsidRPr="00167462">
        <w:rPr>
          <w:i/>
          <w:iCs/>
        </w:rPr>
        <w:t xml:space="preserve">Henri de </w:t>
      </w:r>
      <w:proofErr w:type="spellStart"/>
      <w:r w:rsidRPr="00167462">
        <w:rPr>
          <w:i/>
          <w:iCs/>
        </w:rPr>
        <w:t>Lubac</w:t>
      </w:r>
      <w:proofErr w:type="spellEnd"/>
      <w:r w:rsidRPr="00167462">
        <w:rPr>
          <w:i/>
          <w:iCs/>
        </w:rPr>
        <w:t xml:space="preserve">: </w:t>
      </w:r>
      <w:r w:rsidRPr="00167462">
        <w:rPr>
          <w:rStyle w:val="soustitre1"/>
          <w:rFonts w:ascii="Times New Roman" w:hAnsi="Times New Roman"/>
          <w:bCs/>
          <w:i/>
          <w:color w:val="auto"/>
          <w:sz w:val="20"/>
          <w:szCs w:val="20"/>
        </w:rPr>
        <w:t xml:space="preserve">les </w:t>
      </w:r>
      <w:proofErr w:type="spellStart"/>
      <w:r w:rsidRPr="00167462">
        <w:rPr>
          <w:rStyle w:val="soustitre1"/>
          <w:rFonts w:ascii="Times New Roman" w:hAnsi="Times New Roman"/>
          <w:bCs/>
          <w:i/>
          <w:color w:val="auto"/>
          <w:sz w:val="20"/>
          <w:szCs w:val="20"/>
        </w:rPr>
        <w:t>années</w:t>
      </w:r>
      <w:proofErr w:type="spellEnd"/>
      <w:r w:rsidRPr="00167462">
        <w:rPr>
          <w:rStyle w:val="soustitre1"/>
          <w:rFonts w:ascii="Times New Roman" w:hAnsi="Times New Roman"/>
          <w:bCs/>
          <w:i/>
          <w:color w:val="auto"/>
          <w:sz w:val="20"/>
          <w:szCs w:val="20"/>
        </w:rPr>
        <w:t xml:space="preserve"> de formation (1919–29)</w:t>
      </w:r>
      <w:r w:rsidRPr="00F57B34">
        <w:rPr>
          <w:rStyle w:val="soustitre1"/>
          <w:rFonts w:ascii="Times New Roman" w:hAnsi="Times New Roman"/>
          <w:bCs/>
          <w:color w:val="auto"/>
          <w:sz w:val="20"/>
          <w:szCs w:val="20"/>
        </w:rPr>
        <w:t xml:space="preserve"> (Paris: Cerf, 2009)</w:t>
      </w:r>
      <w:r>
        <w:rPr>
          <w:rStyle w:val="soustitre1"/>
          <w:rFonts w:ascii="Times New Roman" w:hAnsi="Times New Roman"/>
          <w:bCs/>
          <w:color w:val="auto"/>
          <w:sz w:val="20"/>
          <w:szCs w:val="20"/>
        </w:rPr>
        <w:t xml:space="preserve"> </w:t>
      </w:r>
      <w:r>
        <w:t>prove this.</w:t>
      </w:r>
    </w:p>
  </w:footnote>
  <w:footnote w:id="39">
    <w:p w:rsidR="00790B19" w:rsidRDefault="00790B19" w:rsidP="00547017">
      <w:pPr>
        <w:pStyle w:val="FootnoteText"/>
      </w:pPr>
      <w:r>
        <w:rPr>
          <w:rStyle w:val="FootnoteReference"/>
        </w:rPr>
        <w:footnoteRef/>
      </w:r>
      <w:r>
        <w:t xml:space="preserve"> Milbank, ‘Grandeur’, 379.</w:t>
      </w:r>
    </w:p>
  </w:footnote>
  <w:footnote w:id="40">
    <w:p w:rsidR="00790B19" w:rsidRDefault="00790B19" w:rsidP="00547017">
      <w:pPr>
        <w:pStyle w:val="FootnoteText"/>
      </w:pPr>
      <w:r>
        <w:rPr>
          <w:rStyle w:val="FootnoteReference"/>
        </w:rPr>
        <w:footnoteRef/>
      </w:r>
      <w:r>
        <w:t xml:space="preserve"> Ward, </w:t>
      </w:r>
      <w:r>
        <w:rPr>
          <w:i/>
        </w:rPr>
        <w:t>Citi</w:t>
      </w:r>
      <w:r w:rsidRPr="009634F4">
        <w:rPr>
          <w:i/>
        </w:rPr>
        <w:t>es</w:t>
      </w:r>
      <w:r>
        <w:t>, 24, 262 n18.</w:t>
      </w:r>
    </w:p>
  </w:footnote>
  <w:footnote w:id="41">
    <w:p w:rsidR="00790B19" w:rsidRDefault="00790B19" w:rsidP="00547017">
      <w:pPr>
        <w:pStyle w:val="FootnoteText"/>
      </w:pPr>
      <w:r>
        <w:rPr>
          <w:rStyle w:val="FootnoteReference"/>
        </w:rPr>
        <w:footnoteRef/>
      </w:r>
      <w:r>
        <w:t xml:space="preserve"> Milbank, ‘Grandeur’, 377.</w:t>
      </w:r>
    </w:p>
  </w:footnote>
  <w:footnote w:id="42">
    <w:p w:rsidR="00790B19" w:rsidRDefault="00790B19" w:rsidP="00547017">
      <w:pPr>
        <w:pStyle w:val="FootnoteText"/>
      </w:pPr>
      <w:r>
        <w:rPr>
          <w:rStyle w:val="FootnoteReference"/>
        </w:rPr>
        <w:footnoteRef/>
      </w:r>
      <w:r>
        <w:t xml:space="preserve"> Milbank, ‘Grandeur’, 391; also comments on the need ‘further to incorporate temporality into metaphysics’ in idem, </w:t>
      </w:r>
      <w:r w:rsidRPr="008B535F">
        <w:rPr>
          <w:i/>
        </w:rPr>
        <w:t>Future</w:t>
      </w:r>
      <w:r>
        <w:t>, 329–34.</w:t>
      </w:r>
    </w:p>
  </w:footnote>
  <w:footnote w:id="43">
    <w:p w:rsidR="00790B19" w:rsidRDefault="00790B19" w:rsidP="00547017">
      <w:pPr>
        <w:pStyle w:val="FootnoteText"/>
      </w:pPr>
      <w:r w:rsidRPr="00FC2DF9">
        <w:rPr>
          <w:rStyle w:val="FootnoteReference"/>
        </w:rPr>
        <w:footnoteRef/>
      </w:r>
      <w:r w:rsidRPr="00FC2DF9">
        <w:t xml:space="preserve"> Angel F. </w:t>
      </w:r>
      <w:proofErr w:type="spellStart"/>
      <w:r w:rsidRPr="00FC2DF9">
        <w:t>Méndez</w:t>
      </w:r>
      <w:proofErr w:type="spellEnd"/>
      <w:r w:rsidRPr="00FC2DF9">
        <w:t xml:space="preserve"> Montoya, </w:t>
      </w:r>
      <w:r w:rsidRPr="00FC2DF9">
        <w:rPr>
          <w:i/>
        </w:rPr>
        <w:t>The Theology of Food: Eating and the Eucharist</w:t>
      </w:r>
      <w:r>
        <w:t xml:space="preserve"> (Malden, MA: Blackwell, 2009), 30. </w:t>
      </w:r>
    </w:p>
  </w:footnote>
  <w:footnote w:id="44">
    <w:p w:rsidR="00790B19" w:rsidRPr="000279AE" w:rsidRDefault="00790B19" w:rsidP="00547017">
      <w:pPr>
        <w:pStyle w:val="FootnoteText"/>
      </w:pPr>
      <w:r>
        <w:rPr>
          <w:rStyle w:val="FootnoteReference"/>
        </w:rPr>
        <w:footnoteRef/>
      </w:r>
      <w:r>
        <w:t xml:space="preserve"> </w:t>
      </w:r>
      <w:r w:rsidRPr="00FC2DF9">
        <w:t xml:space="preserve">Montoya, </w:t>
      </w:r>
      <w:r w:rsidRPr="00FC2DF9">
        <w:rPr>
          <w:i/>
        </w:rPr>
        <w:t>Theology</w:t>
      </w:r>
      <w:r>
        <w:t>, 45–76.</w:t>
      </w:r>
    </w:p>
  </w:footnote>
  <w:footnote w:id="45">
    <w:p w:rsidR="00790B19" w:rsidRDefault="00790B19" w:rsidP="00547017">
      <w:pPr>
        <w:pStyle w:val="FootnoteText"/>
      </w:pPr>
      <w:r>
        <w:rPr>
          <w:rStyle w:val="FootnoteReference"/>
        </w:rPr>
        <w:footnoteRef/>
      </w:r>
      <w:r>
        <w:t xml:space="preserve"> David Grumett and Rachel Muers, </w:t>
      </w:r>
      <w:r w:rsidRPr="00A22AD5">
        <w:rPr>
          <w:i/>
        </w:rPr>
        <w:t>Theology on the Menu: Asceticism, Meat and Christian Diet</w:t>
      </w:r>
      <w:r>
        <w:t xml:space="preserve"> (London: </w:t>
      </w:r>
      <w:proofErr w:type="spellStart"/>
      <w:r>
        <w:t>Routledge</w:t>
      </w:r>
      <w:proofErr w:type="spellEnd"/>
      <w:r>
        <w:t>, 2010).</w:t>
      </w:r>
    </w:p>
  </w:footnote>
  <w:footnote w:id="46">
    <w:p w:rsidR="00790B19" w:rsidRDefault="00790B19" w:rsidP="00547017">
      <w:pPr>
        <w:pStyle w:val="FootnoteText"/>
      </w:pPr>
      <w:r>
        <w:rPr>
          <w:rStyle w:val="FootnoteReference"/>
        </w:rPr>
        <w:footnoteRef/>
      </w:r>
      <w:r>
        <w:t xml:space="preserve"> Milbank, </w:t>
      </w:r>
      <w:r w:rsidRPr="002A4347">
        <w:rPr>
          <w:i/>
        </w:rPr>
        <w:t>Being Reconciled</w:t>
      </w:r>
      <w:r>
        <w:t>, 61–93.</w:t>
      </w:r>
    </w:p>
  </w:footnote>
  <w:footnote w:id="47">
    <w:p w:rsidR="00790B19" w:rsidRDefault="00790B19" w:rsidP="00547017">
      <w:pPr>
        <w:pStyle w:val="FootnoteText"/>
      </w:pPr>
      <w:r w:rsidRPr="007D7C2C">
        <w:rPr>
          <w:rStyle w:val="FootnoteReference"/>
        </w:rPr>
        <w:footnoteRef/>
      </w:r>
      <w:r w:rsidRPr="007D7C2C">
        <w:t xml:space="preserve"> </w:t>
      </w:r>
      <w:r w:rsidRPr="007D7C2C">
        <w:rPr>
          <w:rStyle w:val="subfielddata"/>
          <w:i/>
        </w:rPr>
        <w:t>Encounter between Eastern Orthodoxy and Radical Orthodoxy: Transfiguring the World through the Word</w:t>
      </w:r>
      <w:r w:rsidRPr="007D7C2C">
        <w:rPr>
          <w:rStyle w:val="subfielddata"/>
        </w:rPr>
        <w:t xml:space="preserve">, </w:t>
      </w:r>
      <w:proofErr w:type="spellStart"/>
      <w:r w:rsidRPr="007D7C2C">
        <w:rPr>
          <w:rStyle w:val="subfielddata"/>
        </w:rPr>
        <w:t>eds</w:t>
      </w:r>
      <w:proofErr w:type="spellEnd"/>
      <w:r w:rsidRPr="007D7C2C">
        <w:rPr>
          <w:rStyle w:val="subfielddata"/>
        </w:rPr>
        <w:t xml:space="preserve"> Adrian </w:t>
      </w:r>
      <w:r w:rsidRPr="007D7C2C">
        <w:rPr>
          <w:rStyle w:val="highlight"/>
        </w:rPr>
        <w:t>Pabst</w:t>
      </w:r>
      <w:r w:rsidRPr="007D7C2C">
        <w:rPr>
          <w:rStyle w:val="subfielddata"/>
        </w:rPr>
        <w:t xml:space="preserve"> and </w:t>
      </w:r>
      <w:proofErr w:type="spellStart"/>
      <w:r w:rsidRPr="007D7C2C">
        <w:rPr>
          <w:rStyle w:val="subfielddata"/>
        </w:rPr>
        <w:t>Christoph</w:t>
      </w:r>
      <w:proofErr w:type="spellEnd"/>
      <w:r w:rsidRPr="007D7C2C">
        <w:rPr>
          <w:rStyle w:val="subfielddata"/>
        </w:rPr>
        <w:t xml:space="preserve"> </w:t>
      </w:r>
      <w:r w:rsidRPr="007D7C2C">
        <w:rPr>
          <w:rStyle w:val="highlight"/>
        </w:rPr>
        <w:t xml:space="preserve">Schneider (Farnham: </w:t>
      </w:r>
      <w:proofErr w:type="spellStart"/>
      <w:r w:rsidRPr="007D7C2C">
        <w:rPr>
          <w:rStyle w:val="highlight"/>
        </w:rPr>
        <w:t>Ashgate</w:t>
      </w:r>
      <w:proofErr w:type="spellEnd"/>
      <w:r w:rsidRPr="007D7C2C">
        <w:rPr>
          <w:rStyle w:val="highlight"/>
        </w:rPr>
        <w:t>, 2009);</w:t>
      </w:r>
      <w:r w:rsidRPr="007D7C2C">
        <w:rPr>
          <w:i/>
        </w:rPr>
        <w:t xml:space="preserve"> </w:t>
      </w:r>
      <w:r w:rsidRPr="00F536E6">
        <w:rPr>
          <w:rStyle w:val="highlight"/>
          <w:i/>
        </w:rPr>
        <w:t>Radical</w:t>
      </w:r>
      <w:r w:rsidRPr="00F536E6">
        <w:rPr>
          <w:rStyle w:val="subfielddata"/>
          <w:i/>
        </w:rPr>
        <w:t xml:space="preserve"> </w:t>
      </w:r>
      <w:r w:rsidRPr="00F536E6">
        <w:rPr>
          <w:rStyle w:val="highlight"/>
          <w:i/>
        </w:rPr>
        <w:t>Orthodoxy</w:t>
      </w:r>
      <w:r w:rsidRPr="00F536E6">
        <w:rPr>
          <w:rStyle w:val="subfielddata"/>
          <w:i/>
        </w:rPr>
        <w:t xml:space="preserve"> and the Reformed Tradition: Creation, Covenant, and Participation</w:t>
      </w:r>
      <w:r w:rsidRPr="00F536E6">
        <w:rPr>
          <w:rStyle w:val="subfielddata"/>
        </w:rPr>
        <w:t xml:space="preserve">, </w:t>
      </w:r>
      <w:proofErr w:type="spellStart"/>
      <w:r w:rsidRPr="00F536E6">
        <w:rPr>
          <w:rStyle w:val="subfielddata"/>
        </w:rPr>
        <w:t>eds</w:t>
      </w:r>
      <w:proofErr w:type="spellEnd"/>
      <w:r w:rsidRPr="00F536E6">
        <w:rPr>
          <w:rStyle w:val="subfielddata"/>
        </w:rPr>
        <w:t xml:space="preserve"> James K.A. </w:t>
      </w:r>
      <w:r w:rsidRPr="00F536E6">
        <w:rPr>
          <w:rStyle w:val="highlight"/>
        </w:rPr>
        <w:t>Smith</w:t>
      </w:r>
      <w:r w:rsidRPr="00F536E6">
        <w:rPr>
          <w:rStyle w:val="subfielddata"/>
        </w:rPr>
        <w:t xml:space="preserve"> and James H. </w:t>
      </w:r>
      <w:proofErr w:type="spellStart"/>
      <w:r w:rsidRPr="00F536E6">
        <w:rPr>
          <w:rStyle w:val="subfielddata"/>
        </w:rPr>
        <w:t>Olthuis</w:t>
      </w:r>
      <w:proofErr w:type="spellEnd"/>
      <w:r w:rsidRPr="00F536E6">
        <w:rPr>
          <w:rStyle w:val="subfielddata"/>
        </w:rPr>
        <w:t xml:space="preserve"> (Grand Rapids, MI: Baker, 2005);</w:t>
      </w:r>
      <w:r w:rsidRPr="00F536E6">
        <w:rPr>
          <w:i/>
        </w:rPr>
        <w:t xml:space="preserve"> </w:t>
      </w:r>
      <w:r w:rsidRPr="007D7C2C">
        <w:rPr>
          <w:i/>
        </w:rPr>
        <w:t>Radical Orthodoxy? A Catholic Enquiry</w:t>
      </w:r>
      <w:r>
        <w:t xml:space="preserve">, ed. Laurence Paul Hemming (Aldershot: </w:t>
      </w:r>
      <w:proofErr w:type="spellStart"/>
      <w:r>
        <w:t>Ashgate</w:t>
      </w:r>
      <w:proofErr w:type="spellEnd"/>
      <w:r>
        <w:t>, 2000).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20"/>
  <w:characterSpacingControl w:val="doNotCompress"/>
  <w:footnotePr>
    <w:footnote w:id="-1"/>
    <w:footnote w:id="0"/>
  </w:footnotePr>
  <w:endnotePr>
    <w:endnote w:id="-1"/>
    <w:endnote w:id="0"/>
  </w:endnotePr>
  <w:compat/>
  <w:rsids>
    <w:rsidRoot w:val="00445563"/>
    <w:rsid w:val="00010D43"/>
    <w:rsid w:val="000116B0"/>
    <w:rsid w:val="000279AE"/>
    <w:rsid w:val="00032652"/>
    <w:rsid w:val="0004362A"/>
    <w:rsid w:val="00043932"/>
    <w:rsid w:val="00046313"/>
    <w:rsid w:val="000468BD"/>
    <w:rsid w:val="0005596B"/>
    <w:rsid w:val="000614DB"/>
    <w:rsid w:val="00061935"/>
    <w:rsid w:val="00064506"/>
    <w:rsid w:val="00067AEC"/>
    <w:rsid w:val="000763A6"/>
    <w:rsid w:val="00084233"/>
    <w:rsid w:val="000A3254"/>
    <w:rsid w:val="000A7755"/>
    <w:rsid w:val="000B7F5A"/>
    <w:rsid w:val="000C445A"/>
    <w:rsid w:val="000D2D86"/>
    <w:rsid w:val="000D6C20"/>
    <w:rsid w:val="000E1B46"/>
    <w:rsid w:val="000E1EC6"/>
    <w:rsid w:val="000F41F8"/>
    <w:rsid w:val="000F4CDB"/>
    <w:rsid w:val="000F593B"/>
    <w:rsid w:val="000F7B03"/>
    <w:rsid w:val="00114444"/>
    <w:rsid w:val="0014100C"/>
    <w:rsid w:val="001423DD"/>
    <w:rsid w:val="001455ED"/>
    <w:rsid w:val="00161031"/>
    <w:rsid w:val="00161797"/>
    <w:rsid w:val="00167462"/>
    <w:rsid w:val="001703B7"/>
    <w:rsid w:val="00182330"/>
    <w:rsid w:val="0019636B"/>
    <w:rsid w:val="001A3094"/>
    <w:rsid w:val="001A78DD"/>
    <w:rsid w:val="001B6438"/>
    <w:rsid w:val="001C0AB6"/>
    <w:rsid w:val="001C7474"/>
    <w:rsid w:val="001D1870"/>
    <w:rsid w:val="001D3957"/>
    <w:rsid w:val="001D4DF1"/>
    <w:rsid w:val="001F32A4"/>
    <w:rsid w:val="001F6971"/>
    <w:rsid w:val="00207EAE"/>
    <w:rsid w:val="00210A86"/>
    <w:rsid w:val="00214A3C"/>
    <w:rsid w:val="00214CA6"/>
    <w:rsid w:val="00217EF8"/>
    <w:rsid w:val="00227FD2"/>
    <w:rsid w:val="002375ED"/>
    <w:rsid w:val="0024465B"/>
    <w:rsid w:val="00252C96"/>
    <w:rsid w:val="002564A4"/>
    <w:rsid w:val="00262555"/>
    <w:rsid w:val="00273833"/>
    <w:rsid w:val="0027589F"/>
    <w:rsid w:val="002768AC"/>
    <w:rsid w:val="002879B2"/>
    <w:rsid w:val="002A4347"/>
    <w:rsid w:val="002B2B8C"/>
    <w:rsid w:val="002D3C1F"/>
    <w:rsid w:val="002E33C3"/>
    <w:rsid w:val="002E4A43"/>
    <w:rsid w:val="002F0D2A"/>
    <w:rsid w:val="002F2D76"/>
    <w:rsid w:val="0032065B"/>
    <w:rsid w:val="00321851"/>
    <w:rsid w:val="00337C82"/>
    <w:rsid w:val="00354412"/>
    <w:rsid w:val="00370D5A"/>
    <w:rsid w:val="00372E7F"/>
    <w:rsid w:val="00381543"/>
    <w:rsid w:val="003B0A42"/>
    <w:rsid w:val="003B3433"/>
    <w:rsid w:val="003C5F71"/>
    <w:rsid w:val="003C7AEF"/>
    <w:rsid w:val="003D1EAC"/>
    <w:rsid w:val="003D3951"/>
    <w:rsid w:val="003E16B8"/>
    <w:rsid w:val="003E3F24"/>
    <w:rsid w:val="003F7E31"/>
    <w:rsid w:val="00402BD7"/>
    <w:rsid w:val="00403071"/>
    <w:rsid w:val="004106C8"/>
    <w:rsid w:val="00413324"/>
    <w:rsid w:val="00423813"/>
    <w:rsid w:val="0042790B"/>
    <w:rsid w:val="004310CF"/>
    <w:rsid w:val="0043330C"/>
    <w:rsid w:val="00434480"/>
    <w:rsid w:val="00437D28"/>
    <w:rsid w:val="004431AD"/>
    <w:rsid w:val="00445563"/>
    <w:rsid w:val="004503CF"/>
    <w:rsid w:val="00457C00"/>
    <w:rsid w:val="0046038D"/>
    <w:rsid w:val="00461D4C"/>
    <w:rsid w:val="004620B1"/>
    <w:rsid w:val="00476A75"/>
    <w:rsid w:val="004812C5"/>
    <w:rsid w:val="00493569"/>
    <w:rsid w:val="0049374F"/>
    <w:rsid w:val="00494A2D"/>
    <w:rsid w:val="00497C2F"/>
    <w:rsid w:val="004A0A0C"/>
    <w:rsid w:val="004A2569"/>
    <w:rsid w:val="004A25B1"/>
    <w:rsid w:val="004A4588"/>
    <w:rsid w:val="004B43F9"/>
    <w:rsid w:val="004C696D"/>
    <w:rsid w:val="004D5038"/>
    <w:rsid w:val="004E112E"/>
    <w:rsid w:val="004E3F01"/>
    <w:rsid w:val="004E4D1F"/>
    <w:rsid w:val="004E56E0"/>
    <w:rsid w:val="004E62F5"/>
    <w:rsid w:val="004F4583"/>
    <w:rsid w:val="004F7740"/>
    <w:rsid w:val="0051266B"/>
    <w:rsid w:val="00514C7C"/>
    <w:rsid w:val="00517FD8"/>
    <w:rsid w:val="00524538"/>
    <w:rsid w:val="00535A21"/>
    <w:rsid w:val="0053746A"/>
    <w:rsid w:val="00540A00"/>
    <w:rsid w:val="005461C7"/>
    <w:rsid w:val="00547017"/>
    <w:rsid w:val="00561395"/>
    <w:rsid w:val="00561B96"/>
    <w:rsid w:val="0056247E"/>
    <w:rsid w:val="00572E1B"/>
    <w:rsid w:val="00574062"/>
    <w:rsid w:val="005773C7"/>
    <w:rsid w:val="005860AA"/>
    <w:rsid w:val="0059036E"/>
    <w:rsid w:val="00594415"/>
    <w:rsid w:val="00596600"/>
    <w:rsid w:val="005B15AE"/>
    <w:rsid w:val="005C3207"/>
    <w:rsid w:val="005C557F"/>
    <w:rsid w:val="005C5E7B"/>
    <w:rsid w:val="005C6D78"/>
    <w:rsid w:val="005D06E6"/>
    <w:rsid w:val="005D3148"/>
    <w:rsid w:val="005D760A"/>
    <w:rsid w:val="005D7C66"/>
    <w:rsid w:val="005E4623"/>
    <w:rsid w:val="00600F39"/>
    <w:rsid w:val="00602E22"/>
    <w:rsid w:val="0060451B"/>
    <w:rsid w:val="006078E4"/>
    <w:rsid w:val="0061122F"/>
    <w:rsid w:val="006267E5"/>
    <w:rsid w:val="006378A3"/>
    <w:rsid w:val="00645C58"/>
    <w:rsid w:val="006475D9"/>
    <w:rsid w:val="0065017A"/>
    <w:rsid w:val="00656FDE"/>
    <w:rsid w:val="006630F9"/>
    <w:rsid w:val="006866E6"/>
    <w:rsid w:val="006873B9"/>
    <w:rsid w:val="006A0F79"/>
    <w:rsid w:val="006B12AF"/>
    <w:rsid w:val="006B1D39"/>
    <w:rsid w:val="006B40A1"/>
    <w:rsid w:val="006B7EA2"/>
    <w:rsid w:val="006C78AD"/>
    <w:rsid w:val="006D2552"/>
    <w:rsid w:val="006E405C"/>
    <w:rsid w:val="006E4A2B"/>
    <w:rsid w:val="006E6778"/>
    <w:rsid w:val="006F4AAC"/>
    <w:rsid w:val="00706027"/>
    <w:rsid w:val="00721C76"/>
    <w:rsid w:val="00722503"/>
    <w:rsid w:val="00723ACC"/>
    <w:rsid w:val="00742FE9"/>
    <w:rsid w:val="00746851"/>
    <w:rsid w:val="00762FA5"/>
    <w:rsid w:val="00764339"/>
    <w:rsid w:val="007658F4"/>
    <w:rsid w:val="00765F2F"/>
    <w:rsid w:val="00766A87"/>
    <w:rsid w:val="007708ED"/>
    <w:rsid w:val="00781FF5"/>
    <w:rsid w:val="0078464D"/>
    <w:rsid w:val="00790B19"/>
    <w:rsid w:val="00795BF4"/>
    <w:rsid w:val="007972C5"/>
    <w:rsid w:val="007A30DD"/>
    <w:rsid w:val="007B0F43"/>
    <w:rsid w:val="007B3840"/>
    <w:rsid w:val="007B4B2D"/>
    <w:rsid w:val="007B636B"/>
    <w:rsid w:val="007C0862"/>
    <w:rsid w:val="007C58FA"/>
    <w:rsid w:val="007D7C2C"/>
    <w:rsid w:val="007E0859"/>
    <w:rsid w:val="007E5A0E"/>
    <w:rsid w:val="007F1EFF"/>
    <w:rsid w:val="007F26BC"/>
    <w:rsid w:val="007F2A6B"/>
    <w:rsid w:val="00801565"/>
    <w:rsid w:val="008019D9"/>
    <w:rsid w:val="00811D1F"/>
    <w:rsid w:val="00825DC3"/>
    <w:rsid w:val="00826890"/>
    <w:rsid w:val="00831051"/>
    <w:rsid w:val="0083489F"/>
    <w:rsid w:val="00850925"/>
    <w:rsid w:val="00850BFF"/>
    <w:rsid w:val="008536BB"/>
    <w:rsid w:val="008575E7"/>
    <w:rsid w:val="00861CE6"/>
    <w:rsid w:val="00864B76"/>
    <w:rsid w:val="00867680"/>
    <w:rsid w:val="00872323"/>
    <w:rsid w:val="00872FCE"/>
    <w:rsid w:val="00882F88"/>
    <w:rsid w:val="008963C7"/>
    <w:rsid w:val="008B3FCF"/>
    <w:rsid w:val="008B4862"/>
    <w:rsid w:val="008B4C46"/>
    <w:rsid w:val="008B535F"/>
    <w:rsid w:val="008C0082"/>
    <w:rsid w:val="008D2081"/>
    <w:rsid w:val="008D7AF5"/>
    <w:rsid w:val="008F1C27"/>
    <w:rsid w:val="008F1CC9"/>
    <w:rsid w:val="008F2E8B"/>
    <w:rsid w:val="008F4917"/>
    <w:rsid w:val="009224A8"/>
    <w:rsid w:val="00924646"/>
    <w:rsid w:val="0093134B"/>
    <w:rsid w:val="00950177"/>
    <w:rsid w:val="00952550"/>
    <w:rsid w:val="00952604"/>
    <w:rsid w:val="00961F76"/>
    <w:rsid w:val="009634F4"/>
    <w:rsid w:val="00992A8E"/>
    <w:rsid w:val="00996F97"/>
    <w:rsid w:val="009A3260"/>
    <w:rsid w:val="009A3644"/>
    <w:rsid w:val="009A37DF"/>
    <w:rsid w:val="009A4EFB"/>
    <w:rsid w:val="009A5921"/>
    <w:rsid w:val="009B07AD"/>
    <w:rsid w:val="009B5D7C"/>
    <w:rsid w:val="009B758E"/>
    <w:rsid w:val="009B783A"/>
    <w:rsid w:val="009C033D"/>
    <w:rsid w:val="009C1078"/>
    <w:rsid w:val="009C62B3"/>
    <w:rsid w:val="009C6771"/>
    <w:rsid w:val="009D6B97"/>
    <w:rsid w:val="009E07D2"/>
    <w:rsid w:val="009E1910"/>
    <w:rsid w:val="009E1E46"/>
    <w:rsid w:val="009E1E98"/>
    <w:rsid w:val="009E45B9"/>
    <w:rsid w:val="009F1583"/>
    <w:rsid w:val="00A0715B"/>
    <w:rsid w:val="00A13C1D"/>
    <w:rsid w:val="00A16F9B"/>
    <w:rsid w:val="00A212CD"/>
    <w:rsid w:val="00A22AD5"/>
    <w:rsid w:val="00A240BB"/>
    <w:rsid w:val="00A24E3B"/>
    <w:rsid w:val="00A26AAA"/>
    <w:rsid w:val="00A27FE8"/>
    <w:rsid w:val="00A43250"/>
    <w:rsid w:val="00A546E0"/>
    <w:rsid w:val="00A56ADC"/>
    <w:rsid w:val="00A6082C"/>
    <w:rsid w:val="00A60D99"/>
    <w:rsid w:val="00A63428"/>
    <w:rsid w:val="00A70235"/>
    <w:rsid w:val="00A71F28"/>
    <w:rsid w:val="00A9226B"/>
    <w:rsid w:val="00A968FE"/>
    <w:rsid w:val="00AC12FF"/>
    <w:rsid w:val="00AE0E05"/>
    <w:rsid w:val="00B000DB"/>
    <w:rsid w:val="00B11047"/>
    <w:rsid w:val="00B364E7"/>
    <w:rsid w:val="00B40654"/>
    <w:rsid w:val="00B46A53"/>
    <w:rsid w:val="00B50967"/>
    <w:rsid w:val="00B5101D"/>
    <w:rsid w:val="00B54FAA"/>
    <w:rsid w:val="00B56F53"/>
    <w:rsid w:val="00B62EF6"/>
    <w:rsid w:val="00B728F0"/>
    <w:rsid w:val="00B84287"/>
    <w:rsid w:val="00B84B9C"/>
    <w:rsid w:val="00B855F4"/>
    <w:rsid w:val="00B872E5"/>
    <w:rsid w:val="00BA2962"/>
    <w:rsid w:val="00BA4CD0"/>
    <w:rsid w:val="00BB460D"/>
    <w:rsid w:val="00BB6B1A"/>
    <w:rsid w:val="00BC5FF8"/>
    <w:rsid w:val="00BD2A54"/>
    <w:rsid w:val="00BD3A8D"/>
    <w:rsid w:val="00BE2760"/>
    <w:rsid w:val="00BE5349"/>
    <w:rsid w:val="00BE7749"/>
    <w:rsid w:val="00BF003E"/>
    <w:rsid w:val="00BF2683"/>
    <w:rsid w:val="00BF2983"/>
    <w:rsid w:val="00BF435E"/>
    <w:rsid w:val="00BF6574"/>
    <w:rsid w:val="00C06322"/>
    <w:rsid w:val="00C138FB"/>
    <w:rsid w:val="00C202E1"/>
    <w:rsid w:val="00C20BDA"/>
    <w:rsid w:val="00C24487"/>
    <w:rsid w:val="00C27468"/>
    <w:rsid w:val="00C305E2"/>
    <w:rsid w:val="00C4208B"/>
    <w:rsid w:val="00C52B90"/>
    <w:rsid w:val="00C53F7D"/>
    <w:rsid w:val="00C65403"/>
    <w:rsid w:val="00C759D4"/>
    <w:rsid w:val="00C82514"/>
    <w:rsid w:val="00C83349"/>
    <w:rsid w:val="00C87C2A"/>
    <w:rsid w:val="00C90A56"/>
    <w:rsid w:val="00C924B2"/>
    <w:rsid w:val="00C93273"/>
    <w:rsid w:val="00C94096"/>
    <w:rsid w:val="00CA507C"/>
    <w:rsid w:val="00CB7234"/>
    <w:rsid w:val="00CB7B68"/>
    <w:rsid w:val="00CC7F8C"/>
    <w:rsid w:val="00CD540D"/>
    <w:rsid w:val="00CE60E6"/>
    <w:rsid w:val="00CF009D"/>
    <w:rsid w:val="00D10F11"/>
    <w:rsid w:val="00D17082"/>
    <w:rsid w:val="00D17823"/>
    <w:rsid w:val="00D20A59"/>
    <w:rsid w:val="00D24216"/>
    <w:rsid w:val="00D453BD"/>
    <w:rsid w:val="00D46DC8"/>
    <w:rsid w:val="00D52226"/>
    <w:rsid w:val="00D604CF"/>
    <w:rsid w:val="00D64B6E"/>
    <w:rsid w:val="00D70FD3"/>
    <w:rsid w:val="00D7314F"/>
    <w:rsid w:val="00D80A4B"/>
    <w:rsid w:val="00D80FEC"/>
    <w:rsid w:val="00DA11DF"/>
    <w:rsid w:val="00DA16BD"/>
    <w:rsid w:val="00DA51DA"/>
    <w:rsid w:val="00DB2F0E"/>
    <w:rsid w:val="00DB476F"/>
    <w:rsid w:val="00DE0E22"/>
    <w:rsid w:val="00DF2F23"/>
    <w:rsid w:val="00E078E3"/>
    <w:rsid w:val="00E304BC"/>
    <w:rsid w:val="00E328FA"/>
    <w:rsid w:val="00E41F9E"/>
    <w:rsid w:val="00E447A4"/>
    <w:rsid w:val="00E518F7"/>
    <w:rsid w:val="00E56AC5"/>
    <w:rsid w:val="00E711C7"/>
    <w:rsid w:val="00E75B4F"/>
    <w:rsid w:val="00E75E17"/>
    <w:rsid w:val="00E841EF"/>
    <w:rsid w:val="00EA4BA3"/>
    <w:rsid w:val="00EA4BF8"/>
    <w:rsid w:val="00EA7E52"/>
    <w:rsid w:val="00EB3255"/>
    <w:rsid w:val="00ED66A2"/>
    <w:rsid w:val="00EE415B"/>
    <w:rsid w:val="00EE7D8E"/>
    <w:rsid w:val="00EF0FF6"/>
    <w:rsid w:val="00EF79C4"/>
    <w:rsid w:val="00F140EA"/>
    <w:rsid w:val="00F2297A"/>
    <w:rsid w:val="00F27A08"/>
    <w:rsid w:val="00F3059A"/>
    <w:rsid w:val="00F320A0"/>
    <w:rsid w:val="00F536E6"/>
    <w:rsid w:val="00F57B34"/>
    <w:rsid w:val="00F712D0"/>
    <w:rsid w:val="00F731DA"/>
    <w:rsid w:val="00F740BA"/>
    <w:rsid w:val="00F814A7"/>
    <w:rsid w:val="00F8320D"/>
    <w:rsid w:val="00F87543"/>
    <w:rsid w:val="00F95DAF"/>
    <w:rsid w:val="00FA15B0"/>
    <w:rsid w:val="00FB3292"/>
    <w:rsid w:val="00FC2DF9"/>
    <w:rsid w:val="00FE0893"/>
    <w:rsid w:val="00FE3628"/>
    <w:rsid w:val="00FE6DAD"/>
    <w:rsid w:val="00FF43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1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2CD"/>
    <w:rPr>
      <w:sz w:val="20"/>
      <w:szCs w:val="20"/>
    </w:rPr>
  </w:style>
  <w:style w:type="character" w:styleId="FootnoteReference">
    <w:name w:val="footnote reference"/>
    <w:basedOn w:val="DefaultParagraphFont"/>
    <w:uiPriority w:val="99"/>
    <w:semiHidden/>
    <w:unhideWhenUsed/>
    <w:rsid w:val="00A212CD"/>
    <w:rPr>
      <w:vertAlign w:val="superscript"/>
    </w:rPr>
  </w:style>
  <w:style w:type="character" w:styleId="LineNumber">
    <w:name w:val="line number"/>
    <w:basedOn w:val="DefaultParagraphFont"/>
    <w:uiPriority w:val="99"/>
    <w:semiHidden/>
    <w:unhideWhenUsed/>
    <w:rsid w:val="00321851"/>
  </w:style>
  <w:style w:type="paragraph" w:styleId="Header">
    <w:name w:val="header"/>
    <w:basedOn w:val="Normal"/>
    <w:link w:val="HeaderChar"/>
    <w:uiPriority w:val="99"/>
    <w:semiHidden/>
    <w:unhideWhenUsed/>
    <w:rsid w:val="003218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1851"/>
  </w:style>
  <w:style w:type="paragraph" w:styleId="Footer">
    <w:name w:val="footer"/>
    <w:basedOn w:val="Normal"/>
    <w:link w:val="FooterChar"/>
    <w:uiPriority w:val="99"/>
    <w:unhideWhenUsed/>
    <w:rsid w:val="00321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51"/>
  </w:style>
  <w:style w:type="paragraph" w:styleId="ListParagraph">
    <w:name w:val="List Paragraph"/>
    <w:basedOn w:val="Normal"/>
    <w:uiPriority w:val="34"/>
    <w:qFormat/>
    <w:rsid w:val="003F7E31"/>
    <w:pPr>
      <w:ind w:left="720"/>
      <w:contextualSpacing/>
    </w:pPr>
  </w:style>
  <w:style w:type="character" w:customStyle="1" w:styleId="soustitre1">
    <w:name w:val="soustitre1"/>
    <w:basedOn w:val="DefaultParagraphFont"/>
    <w:rsid w:val="00F57B34"/>
    <w:rPr>
      <w:rFonts w:ascii="Verdana" w:hAnsi="Verdana" w:hint="default"/>
      <w:i w:val="0"/>
      <w:iCs w:val="0"/>
      <w:color w:val="095A84"/>
      <w:sz w:val="17"/>
      <w:szCs w:val="17"/>
    </w:rPr>
  </w:style>
  <w:style w:type="character" w:customStyle="1" w:styleId="subfielddata">
    <w:name w:val="subfielddata"/>
    <w:basedOn w:val="DefaultParagraphFont"/>
    <w:rsid w:val="007D7C2C"/>
  </w:style>
  <w:style w:type="character" w:customStyle="1" w:styleId="highlight">
    <w:name w:val="highlight"/>
    <w:basedOn w:val="DefaultParagraphFont"/>
    <w:rsid w:val="007D7C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A0BB-5441-457A-BAE2-0BCB2999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2272</TotalTime>
  <Pages>12</Pages>
  <Words>5305</Words>
  <Characters>30239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Grumett</dc:creator>
  <cp:keywords/>
  <dc:description/>
  <cp:lastModifiedBy>David Grumett</cp:lastModifiedBy>
  <cp:revision>294</cp:revision>
  <dcterms:created xsi:type="dcterms:W3CDTF">2010-04-30T08:42:00Z</dcterms:created>
  <dcterms:modified xsi:type="dcterms:W3CDTF">2011-06-16T19:55:00Z</dcterms:modified>
</cp:coreProperties>
</file>