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06E7" w:rsidRPr="006A1593" w:rsidRDefault="009A06E7" w:rsidP="009A06E7">
      <w:pPr>
        <w:jc w:val="center"/>
        <w:rPr>
          <w:b/>
          <w:sz w:val="24"/>
          <w:szCs w:val="24"/>
          <w:lang w:val="en-US"/>
        </w:rPr>
      </w:pPr>
      <w:r w:rsidRPr="006A1593">
        <w:rPr>
          <w:b/>
          <w:sz w:val="24"/>
          <w:szCs w:val="24"/>
          <w:lang w:val="en-US"/>
        </w:rPr>
        <w:t>Standards for Detecting, Interpreting and Reporting NCCT Markers of ICH Expansion</w:t>
      </w:r>
    </w:p>
    <w:p w:rsidR="00460669" w:rsidRPr="006A1593" w:rsidRDefault="00460669">
      <w:pPr>
        <w:rPr>
          <w:sz w:val="24"/>
          <w:szCs w:val="24"/>
          <w:lang w:val="en-US"/>
        </w:rPr>
      </w:pPr>
    </w:p>
    <w:p w:rsidR="00460669" w:rsidRPr="006A1593" w:rsidRDefault="00460669">
      <w:pPr>
        <w:spacing w:after="0"/>
        <w:jc w:val="center"/>
        <w:rPr>
          <w:sz w:val="24"/>
          <w:szCs w:val="24"/>
          <w:lang w:val="en-US"/>
        </w:rPr>
      </w:pPr>
      <w:r w:rsidRPr="006A1593">
        <w:rPr>
          <w:sz w:val="24"/>
          <w:szCs w:val="24"/>
          <w:lang w:val="en-US"/>
        </w:rPr>
        <w:t xml:space="preserve">Andrea </w:t>
      </w:r>
      <w:proofErr w:type="spellStart"/>
      <w:r w:rsidRPr="006A1593">
        <w:rPr>
          <w:sz w:val="24"/>
          <w:szCs w:val="24"/>
          <w:lang w:val="en-US"/>
        </w:rPr>
        <w:t>Morotti</w:t>
      </w:r>
      <w:proofErr w:type="spellEnd"/>
      <w:r w:rsidRPr="006A1593">
        <w:rPr>
          <w:sz w:val="24"/>
          <w:szCs w:val="24"/>
          <w:lang w:val="en-US"/>
        </w:rPr>
        <w:t xml:space="preserve">, MD*; Gregoire </w:t>
      </w:r>
      <w:proofErr w:type="spellStart"/>
      <w:r w:rsidRPr="006A1593">
        <w:rPr>
          <w:sz w:val="24"/>
          <w:szCs w:val="24"/>
          <w:lang w:val="en-US"/>
        </w:rPr>
        <w:t>Boulou</w:t>
      </w:r>
      <w:r w:rsidR="00ED37B4" w:rsidRPr="006A1593">
        <w:rPr>
          <w:sz w:val="24"/>
          <w:szCs w:val="24"/>
          <w:lang w:val="en-US"/>
        </w:rPr>
        <w:t>is</w:t>
      </w:r>
      <w:proofErr w:type="spellEnd"/>
      <w:r w:rsidR="00ED37B4" w:rsidRPr="006A1593">
        <w:rPr>
          <w:sz w:val="24"/>
          <w:szCs w:val="24"/>
          <w:lang w:val="en-US"/>
        </w:rPr>
        <w:t xml:space="preserve">, MD, MSc*; Dar </w:t>
      </w:r>
      <w:proofErr w:type="spellStart"/>
      <w:r w:rsidR="00ED37B4" w:rsidRPr="006A1593">
        <w:rPr>
          <w:sz w:val="24"/>
          <w:szCs w:val="24"/>
          <w:lang w:val="en-US"/>
        </w:rPr>
        <w:t>Dowlatshahi</w:t>
      </w:r>
      <w:proofErr w:type="spellEnd"/>
      <w:r w:rsidR="00ED37B4" w:rsidRPr="006A1593">
        <w:rPr>
          <w:sz w:val="24"/>
          <w:szCs w:val="24"/>
          <w:lang w:val="en-US"/>
        </w:rPr>
        <w:t xml:space="preserve">, </w:t>
      </w:r>
      <w:r w:rsidRPr="006A1593">
        <w:rPr>
          <w:sz w:val="24"/>
          <w:szCs w:val="24"/>
          <w:lang w:val="en-US"/>
        </w:rPr>
        <w:t>MD, PhD;</w:t>
      </w:r>
    </w:p>
    <w:p w:rsidR="003C2BC6" w:rsidRPr="006A1593" w:rsidRDefault="00460669">
      <w:pPr>
        <w:spacing w:after="0"/>
        <w:jc w:val="center"/>
        <w:rPr>
          <w:sz w:val="24"/>
          <w:szCs w:val="24"/>
          <w:lang w:val="en-US"/>
        </w:rPr>
      </w:pPr>
      <w:r w:rsidRPr="006A1593">
        <w:rPr>
          <w:sz w:val="24"/>
          <w:szCs w:val="24"/>
          <w:lang w:val="en-US"/>
        </w:rPr>
        <w:t xml:space="preserve">Qi Li, MD, PhD; Christen D. Barras, MD, PhD; Candice </w:t>
      </w:r>
      <w:proofErr w:type="spellStart"/>
      <w:r w:rsidRPr="006A1593">
        <w:rPr>
          <w:sz w:val="24"/>
          <w:szCs w:val="24"/>
          <w:lang w:val="en-US"/>
        </w:rPr>
        <w:t>Delcourt</w:t>
      </w:r>
      <w:proofErr w:type="spellEnd"/>
      <w:r w:rsidRPr="006A1593">
        <w:rPr>
          <w:sz w:val="24"/>
          <w:szCs w:val="24"/>
          <w:lang w:val="en-US"/>
        </w:rPr>
        <w:t xml:space="preserve">, MD, PhD; </w:t>
      </w:r>
      <w:proofErr w:type="spellStart"/>
      <w:r w:rsidRPr="006A1593">
        <w:rPr>
          <w:sz w:val="24"/>
          <w:szCs w:val="24"/>
          <w:lang w:val="en-US"/>
        </w:rPr>
        <w:t>Zhiyuan</w:t>
      </w:r>
      <w:proofErr w:type="spellEnd"/>
      <w:r w:rsidRPr="006A1593">
        <w:rPr>
          <w:sz w:val="24"/>
          <w:szCs w:val="24"/>
          <w:lang w:val="en-US"/>
        </w:rPr>
        <w:t xml:space="preserve"> Yu, MD; Jun Zheng, MD; </w:t>
      </w:r>
      <w:proofErr w:type="spellStart"/>
      <w:r w:rsidRPr="006A1593">
        <w:rPr>
          <w:sz w:val="24"/>
          <w:szCs w:val="24"/>
          <w:lang w:val="en-US"/>
        </w:rPr>
        <w:t>Zien</w:t>
      </w:r>
      <w:proofErr w:type="spellEnd"/>
      <w:r w:rsidRPr="006A1593">
        <w:rPr>
          <w:sz w:val="24"/>
          <w:szCs w:val="24"/>
          <w:lang w:val="en-US"/>
        </w:rPr>
        <w:t xml:space="preserve"> Zhou, MD; Richard I</w:t>
      </w:r>
      <w:r w:rsidR="000A62BC" w:rsidRPr="006A1593">
        <w:rPr>
          <w:sz w:val="24"/>
          <w:szCs w:val="24"/>
          <w:lang w:val="en-US"/>
        </w:rPr>
        <w:t>.</w:t>
      </w:r>
      <w:r w:rsidRPr="006A1593">
        <w:rPr>
          <w:sz w:val="24"/>
          <w:szCs w:val="24"/>
          <w:lang w:val="en-US"/>
        </w:rPr>
        <w:t xml:space="preserve"> Aviv, </w:t>
      </w:r>
      <w:r w:rsidRPr="006A1593">
        <w:rPr>
          <w:color w:val="000000"/>
          <w:sz w:val="24"/>
          <w:szCs w:val="24"/>
          <w:lang w:val="en-US"/>
        </w:rPr>
        <w:t>MBChB;</w:t>
      </w:r>
      <w:r w:rsidRPr="006A1593">
        <w:rPr>
          <w:sz w:val="24"/>
          <w:szCs w:val="24"/>
          <w:lang w:val="en-US"/>
        </w:rPr>
        <w:t xml:space="preserve"> </w:t>
      </w:r>
      <w:r w:rsidR="003C2BC6" w:rsidRPr="006A1593">
        <w:rPr>
          <w:sz w:val="24"/>
          <w:szCs w:val="24"/>
          <w:lang w:val="en-US"/>
        </w:rPr>
        <w:t xml:space="preserve">Ashkan </w:t>
      </w:r>
      <w:proofErr w:type="spellStart"/>
      <w:r w:rsidR="003C2BC6" w:rsidRPr="006A1593">
        <w:rPr>
          <w:sz w:val="24"/>
          <w:szCs w:val="24"/>
          <w:lang w:val="en-US"/>
        </w:rPr>
        <w:t>Shoamanesh</w:t>
      </w:r>
      <w:proofErr w:type="spellEnd"/>
      <w:r w:rsidR="003C2BC6" w:rsidRPr="006A1593">
        <w:rPr>
          <w:sz w:val="24"/>
          <w:szCs w:val="24"/>
          <w:lang w:val="en-US"/>
        </w:rPr>
        <w:t xml:space="preserve">, MD, FRCPC; </w:t>
      </w:r>
    </w:p>
    <w:p w:rsidR="00460669" w:rsidRPr="006A1593" w:rsidRDefault="003C2BC6">
      <w:pPr>
        <w:spacing w:after="0"/>
        <w:jc w:val="center"/>
        <w:rPr>
          <w:sz w:val="24"/>
          <w:szCs w:val="24"/>
          <w:lang w:val="en-US"/>
        </w:rPr>
      </w:pPr>
      <w:r w:rsidRPr="006A1593">
        <w:rPr>
          <w:sz w:val="24"/>
          <w:szCs w:val="24"/>
          <w:lang w:val="en-US"/>
        </w:rPr>
        <w:t xml:space="preserve"> </w:t>
      </w:r>
      <w:r w:rsidRPr="006A1593">
        <w:rPr>
          <w:color w:val="222222"/>
          <w:sz w:val="24"/>
          <w:szCs w:val="24"/>
          <w:shd w:val="clear" w:color="auto" w:fill="FFFFFF"/>
          <w:lang w:val="en-US"/>
        </w:rPr>
        <w:t xml:space="preserve">Peter B. </w:t>
      </w:r>
      <w:proofErr w:type="spellStart"/>
      <w:r w:rsidRPr="006A1593">
        <w:rPr>
          <w:color w:val="222222"/>
          <w:sz w:val="24"/>
          <w:szCs w:val="24"/>
          <w:shd w:val="clear" w:color="auto" w:fill="FFFFFF"/>
          <w:lang w:val="en-US"/>
        </w:rPr>
        <w:t>Sporns</w:t>
      </w:r>
      <w:proofErr w:type="spellEnd"/>
      <w:r w:rsidRPr="006A1593">
        <w:rPr>
          <w:color w:val="222222"/>
          <w:sz w:val="24"/>
          <w:szCs w:val="24"/>
          <w:shd w:val="clear" w:color="auto" w:fill="FFFFFF"/>
          <w:lang w:val="en-US"/>
        </w:rPr>
        <w:t>, MD, MHBA;</w:t>
      </w:r>
      <w:r w:rsidRPr="006A1593">
        <w:rPr>
          <w:color w:val="222222"/>
          <w:shd w:val="clear" w:color="auto" w:fill="FFFFFF"/>
          <w:lang w:val="en-US"/>
        </w:rPr>
        <w:t xml:space="preserve"> </w:t>
      </w:r>
      <w:r w:rsidR="00460669" w:rsidRPr="006A1593">
        <w:rPr>
          <w:sz w:val="24"/>
          <w:szCs w:val="24"/>
          <w:lang w:val="en-US"/>
        </w:rPr>
        <w:t xml:space="preserve">Jonathan </w:t>
      </w:r>
      <w:proofErr w:type="spellStart"/>
      <w:r w:rsidR="00460669" w:rsidRPr="006A1593">
        <w:rPr>
          <w:sz w:val="24"/>
          <w:szCs w:val="24"/>
          <w:lang w:val="en-US"/>
        </w:rPr>
        <w:t>Rosand</w:t>
      </w:r>
      <w:proofErr w:type="spellEnd"/>
      <w:r w:rsidR="00460669" w:rsidRPr="006A1593">
        <w:rPr>
          <w:sz w:val="24"/>
          <w:szCs w:val="24"/>
          <w:lang w:val="en-US"/>
        </w:rPr>
        <w:t xml:space="preserve">, MD, MSc; Steven M. Greenberg, MD, PhD; </w:t>
      </w:r>
      <w:r w:rsidR="00EB46E4" w:rsidRPr="006A1593">
        <w:rPr>
          <w:sz w:val="24"/>
          <w:szCs w:val="24"/>
          <w:lang w:val="en-US"/>
        </w:rPr>
        <w:t>Rustam Al-Shahi Salman</w:t>
      </w:r>
      <w:r w:rsidR="00D43E5F" w:rsidRPr="006A1593">
        <w:rPr>
          <w:sz w:val="24"/>
          <w:szCs w:val="24"/>
          <w:lang w:val="en-US"/>
        </w:rPr>
        <w:t>,</w:t>
      </w:r>
      <w:r w:rsidR="00EB46E4" w:rsidRPr="006A1593">
        <w:rPr>
          <w:sz w:val="24"/>
          <w:szCs w:val="24"/>
          <w:lang w:val="en-US"/>
        </w:rPr>
        <w:t xml:space="preserve"> M</w:t>
      </w:r>
      <w:r w:rsidR="000A62BC" w:rsidRPr="006A1593">
        <w:rPr>
          <w:sz w:val="24"/>
          <w:szCs w:val="24"/>
          <w:lang w:val="en-US"/>
        </w:rPr>
        <w:t>D</w:t>
      </w:r>
      <w:r w:rsidR="00D43E5F" w:rsidRPr="006A1593">
        <w:rPr>
          <w:sz w:val="24"/>
          <w:szCs w:val="24"/>
          <w:lang w:val="en-US"/>
        </w:rPr>
        <w:t>,</w:t>
      </w:r>
      <w:r w:rsidR="00EB46E4" w:rsidRPr="006A1593">
        <w:rPr>
          <w:sz w:val="24"/>
          <w:szCs w:val="24"/>
          <w:lang w:val="en-US"/>
        </w:rPr>
        <w:t xml:space="preserve"> PhD</w:t>
      </w:r>
      <w:r w:rsidR="00D43E5F" w:rsidRPr="006A1593">
        <w:rPr>
          <w:sz w:val="24"/>
          <w:szCs w:val="24"/>
          <w:lang w:val="en-US"/>
        </w:rPr>
        <w:t>,</w:t>
      </w:r>
      <w:r w:rsidR="00EB46E4" w:rsidRPr="006A1593">
        <w:rPr>
          <w:sz w:val="24"/>
          <w:szCs w:val="24"/>
          <w:lang w:val="en-US"/>
        </w:rPr>
        <w:t xml:space="preserve"> FRCP; </w:t>
      </w:r>
      <w:r w:rsidR="00460669" w:rsidRPr="006A1593">
        <w:rPr>
          <w:sz w:val="24"/>
          <w:szCs w:val="24"/>
          <w:lang w:val="en-US"/>
        </w:rPr>
        <w:t xml:space="preserve">Adnan I. Qureshi, MD; Andrew M. </w:t>
      </w:r>
      <w:proofErr w:type="spellStart"/>
      <w:r w:rsidR="00460669" w:rsidRPr="006A1593">
        <w:rPr>
          <w:sz w:val="24"/>
          <w:szCs w:val="24"/>
          <w:lang w:val="en-US"/>
        </w:rPr>
        <w:t>Demchuk</w:t>
      </w:r>
      <w:proofErr w:type="spellEnd"/>
      <w:r w:rsidR="00460669" w:rsidRPr="006A1593">
        <w:rPr>
          <w:sz w:val="24"/>
          <w:szCs w:val="24"/>
          <w:lang w:val="en-US"/>
        </w:rPr>
        <w:t xml:space="preserve">, MD; </w:t>
      </w:r>
    </w:p>
    <w:p w:rsidR="00460669" w:rsidRPr="006A1593" w:rsidRDefault="00460669">
      <w:pPr>
        <w:spacing w:after="0"/>
        <w:jc w:val="center"/>
        <w:rPr>
          <w:sz w:val="24"/>
          <w:szCs w:val="24"/>
          <w:lang w:val="en-US"/>
        </w:rPr>
      </w:pPr>
      <w:r w:rsidRPr="006A1593">
        <w:rPr>
          <w:sz w:val="24"/>
          <w:szCs w:val="24"/>
          <w:lang w:val="en-US"/>
        </w:rPr>
        <w:t xml:space="preserve">Craig S. Anderson, MD, PhD; Joshua N. Goldstein, MD, PhD; Andreas </w:t>
      </w:r>
      <w:proofErr w:type="spellStart"/>
      <w:r w:rsidRPr="006A1593">
        <w:rPr>
          <w:sz w:val="24"/>
          <w:szCs w:val="24"/>
          <w:lang w:val="en-US"/>
        </w:rPr>
        <w:t>Charidimou</w:t>
      </w:r>
      <w:proofErr w:type="spellEnd"/>
      <w:r w:rsidRPr="006A1593">
        <w:rPr>
          <w:sz w:val="24"/>
          <w:szCs w:val="24"/>
          <w:lang w:val="en-US"/>
        </w:rPr>
        <w:t>, MD, PhD</w:t>
      </w:r>
    </w:p>
    <w:p w:rsidR="00B81F76" w:rsidRPr="006A1593" w:rsidRDefault="00B81F76" w:rsidP="00B81F76">
      <w:pPr>
        <w:spacing w:before="120" w:after="120"/>
        <w:jc w:val="center"/>
        <w:rPr>
          <w:i/>
          <w:sz w:val="24"/>
          <w:szCs w:val="24"/>
          <w:lang w:val="en-US"/>
        </w:rPr>
      </w:pPr>
      <w:r w:rsidRPr="006A1593">
        <w:rPr>
          <w:i/>
          <w:sz w:val="24"/>
          <w:szCs w:val="24"/>
          <w:lang w:val="en-US"/>
        </w:rPr>
        <w:t>International NCCT ICH Study Group</w:t>
      </w:r>
    </w:p>
    <w:p w:rsidR="00B81F76" w:rsidRPr="006A1593" w:rsidRDefault="00B81F76">
      <w:pPr>
        <w:spacing w:before="60" w:after="60"/>
        <w:rPr>
          <w:b/>
          <w:lang w:val="en-US"/>
        </w:rPr>
      </w:pPr>
    </w:p>
    <w:p w:rsidR="00460669" w:rsidRPr="006A1593" w:rsidRDefault="00460669">
      <w:pPr>
        <w:spacing w:before="60" w:after="60"/>
        <w:rPr>
          <w:b/>
          <w:lang w:val="en-US"/>
        </w:rPr>
      </w:pPr>
      <w:r w:rsidRPr="006A1593">
        <w:rPr>
          <w:b/>
          <w:lang w:val="en-US"/>
        </w:rPr>
        <w:t>AFFILIATIONS</w:t>
      </w:r>
    </w:p>
    <w:p w:rsidR="00460669" w:rsidRPr="006A1593" w:rsidRDefault="006C3295" w:rsidP="00D43E5F">
      <w:pPr>
        <w:spacing w:after="40"/>
        <w:rPr>
          <w:rStyle w:val="highlight"/>
          <w:color w:val="000000"/>
          <w:shd w:val="clear" w:color="auto" w:fill="FFFFFF"/>
          <w:lang w:val="en-US"/>
        </w:rPr>
      </w:pPr>
      <w:r w:rsidRPr="006A1593">
        <w:rPr>
          <w:rStyle w:val="highlight"/>
          <w:color w:val="000000"/>
          <w:shd w:val="clear" w:color="auto" w:fill="FFFFFF"/>
          <w:lang w:val="en-US"/>
        </w:rPr>
        <w:t>Department of Neurology and Neurorehabilitation</w:t>
      </w:r>
      <w:r w:rsidR="00460669" w:rsidRPr="006A1593">
        <w:rPr>
          <w:rStyle w:val="highlight"/>
          <w:color w:val="000000"/>
          <w:shd w:val="clear" w:color="auto" w:fill="FFFFFF"/>
          <w:lang w:val="en-US"/>
        </w:rPr>
        <w:t xml:space="preserve">, IRCCS </w:t>
      </w:r>
      <w:proofErr w:type="spellStart"/>
      <w:r w:rsidR="00460669" w:rsidRPr="006A1593">
        <w:rPr>
          <w:rStyle w:val="highlight"/>
          <w:color w:val="000000"/>
          <w:shd w:val="clear" w:color="auto" w:fill="FFFFFF"/>
          <w:lang w:val="en-US"/>
        </w:rPr>
        <w:t>Mondino</w:t>
      </w:r>
      <w:proofErr w:type="spellEnd"/>
      <w:r w:rsidR="00460669" w:rsidRPr="006A1593">
        <w:rPr>
          <w:rStyle w:val="highlight"/>
          <w:color w:val="000000"/>
          <w:shd w:val="clear" w:color="auto" w:fill="FFFFFF"/>
          <w:lang w:val="en-US"/>
        </w:rPr>
        <w:t xml:space="preserve"> </w:t>
      </w:r>
      <w:proofErr w:type="gramStart"/>
      <w:r w:rsidR="00460669" w:rsidRPr="006A1593">
        <w:rPr>
          <w:rStyle w:val="highlight"/>
          <w:color w:val="000000"/>
          <w:shd w:val="clear" w:color="auto" w:fill="FFFFFF"/>
          <w:lang w:val="en-US"/>
        </w:rPr>
        <w:t>Foundation,  Pavia</w:t>
      </w:r>
      <w:proofErr w:type="gramEnd"/>
      <w:r w:rsidR="00460669" w:rsidRPr="006A1593">
        <w:rPr>
          <w:rStyle w:val="highlight"/>
          <w:color w:val="000000"/>
          <w:shd w:val="clear" w:color="auto" w:fill="FFFFFF"/>
          <w:lang w:val="en-US"/>
        </w:rPr>
        <w:t>, Italy (AM).</w:t>
      </w:r>
    </w:p>
    <w:p w:rsidR="00460669" w:rsidRPr="006A1593" w:rsidRDefault="00460669" w:rsidP="00D43E5F">
      <w:pPr>
        <w:spacing w:after="40"/>
        <w:rPr>
          <w:lang w:val="en-US"/>
        </w:rPr>
      </w:pPr>
      <w:r w:rsidRPr="006A1593">
        <w:rPr>
          <w:rStyle w:val="highlight"/>
          <w:color w:val="000000"/>
          <w:shd w:val="clear" w:color="auto" w:fill="FFFFFF"/>
          <w:lang w:val="en-US"/>
        </w:rPr>
        <w:t xml:space="preserve">Department of Neuroradiology, </w:t>
      </w:r>
      <w:proofErr w:type="spellStart"/>
      <w:r w:rsidRPr="006A1593">
        <w:rPr>
          <w:rStyle w:val="highlight"/>
          <w:color w:val="000000"/>
          <w:shd w:val="clear" w:color="auto" w:fill="FFFFFF"/>
          <w:lang w:val="en-US"/>
        </w:rPr>
        <w:t>Université</w:t>
      </w:r>
      <w:proofErr w:type="spellEnd"/>
      <w:r w:rsidRPr="006A1593">
        <w:rPr>
          <w:rStyle w:val="highlight"/>
          <w:color w:val="000000"/>
          <w:shd w:val="clear" w:color="auto" w:fill="FFFFFF"/>
          <w:lang w:val="en-US"/>
        </w:rPr>
        <w:t xml:space="preserve"> Paris Descartes, INSERM S894, DHU </w:t>
      </w:r>
      <w:proofErr w:type="spellStart"/>
      <w:r w:rsidRPr="006A1593">
        <w:rPr>
          <w:rStyle w:val="highlight"/>
          <w:color w:val="000000"/>
          <w:shd w:val="clear" w:color="auto" w:fill="FFFFFF"/>
          <w:lang w:val="en-US"/>
        </w:rPr>
        <w:t>Neurovasc</w:t>
      </w:r>
      <w:proofErr w:type="spellEnd"/>
      <w:r w:rsidRPr="006A1593">
        <w:rPr>
          <w:rStyle w:val="highlight"/>
          <w:color w:val="000000"/>
          <w:shd w:val="clear" w:color="auto" w:fill="FFFFFF"/>
          <w:lang w:val="en-US"/>
        </w:rPr>
        <w:t xml:space="preserve">, Centre </w:t>
      </w:r>
      <w:proofErr w:type="spellStart"/>
      <w:r w:rsidRPr="006A1593">
        <w:rPr>
          <w:rStyle w:val="highlight"/>
          <w:color w:val="000000"/>
          <w:shd w:val="clear" w:color="auto" w:fill="FFFFFF"/>
          <w:lang w:val="en-US"/>
        </w:rPr>
        <w:t>Hospitalier</w:t>
      </w:r>
      <w:proofErr w:type="spellEnd"/>
      <w:r w:rsidRPr="006A1593">
        <w:rPr>
          <w:rStyle w:val="highlight"/>
          <w:color w:val="000000"/>
          <w:shd w:val="clear" w:color="auto" w:fill="FFFFFF"/>
          <w:lang w:val="en-US"/>
        </w:rPr>
        <w:t xml:space="preserve"> Sainte-Anne, Paris, France (GB).</w:t>
      </w:r>
    </w:p>
    <w:p w:rsidR="00460669" w:rsidRPr="006A1593" w:rsidRDefault="00460669" w:rsidP="00D43E5F">
      <w:pPr>
        <w:spacing w:after="40"/>
        <w:rPr>
          <w:lang w:val="en-US"/>
        </w:rPr>
      </w:pPr>
      <w:r w:rsidRPr="006A1593">
        <w:rPr>
          <w:rStyle w:val="highlight"/>
          <w:color w:val="000000"/>
          <w:shd w:val="clear" w:color="auto" w:fill="FFFFFF"/>
          <w:lang w:val="en-US"/>
        </w:rPr>
        <w:t>Department of Medicine (Neurology), University of Ottawa, Ottawa Hospital Research Institute, Ottawa, Canada (DD).</w:t>
      </w:r>
    </w:p>
    <w:p w:rsidR="00460669" w:rsidRPr="006A1593" w:rsidRDefault="00460669" w:rsidP="00D43E5F">
      <w:pPr>
        <w:spacing w:after="40"/>
        <w:rPr>
          <w:rStyle w:val="highlight"/>
          <w:color w:val="000000"/>
          <w:shd w:val="clear" w:color="auto" w:fill="FFFFFF"/>
          <w:lang w:val="en-US"/>
        </w:rPr>
      </w:pPr>
      <w:r w:rsidRPr="006A1593">
        <w:rPr>
          <w:rStyle w:val="highlight"/>
          <w:color w:val="000000"/>
          <w:shd w:val="clear" w:color="auto" w:fill="FFFFFF"/>
          <w:lang w:val="en-US"/>
        </w:rPr>
        <w:t>Department of Neurology, The First Affiliated Hospital of Chongqing Medical University, Chongqing</w:t>
      </w:r>
      <w:r w:rsidRPr="006A1593">
        <w:rPr>
          <w:rStyle w:val="highlight"/>
          <w:color w:val="000000"/>
          <w:shd w:val="clear" w:color="auto" w:fill="FFFFFF"/>
          <w:lang w:val="en-US" w:eastAsia="zh-CN"/>
        </w:rPr>
        <w:t>, China</w:t>
      </w:r>
      <w:r w:rsidRPr="006A1593">
        <w:rPr>
          <w:rStyle w:val="highlight"/>
          <w:color w:val="000000"/>
          <w:shd w:val="clear" w:color="auto" w:fill="FFFFFF"/>
          <w:lang w:val="en-US"/>
        </w:rPr>
        <w:t xml:space="preserve"> (QL)</w:t>
      </w:r>
    </w:p>
    <w:p w:rsidR="00DE30B9" w:rsidRPr="006A1593" w:rsidRDefault="00DE30B9" w:rsidP="00DE30B9">
      <w:pPr>
        <w:spacing w:after="40"/>
        <w:rPr>
          <w:color w:val="000000"/>
          <w:shd w:val="clear" w:color="auto" w:fill="FFFFFF"/>
          <w:lang w:val="en-US"/>
        </w:rPr>
      </w:pPr>
      <w:r w:rsidRPr="006A1593">
        <w:rPr>
          <w:color w:val="000000"/>
          <w:shd w:val="clear" w:color="auto" w:fill="FFFFFF"/>
          <w:lang w:val="en-US"/>
        </w:rPr>
        <w:t>South Australian Health and Medical Research Institute, Adelaide, Australia; Department of Radiology,</w:t>
      </w:r>
    </w:p>
    <w:p w:rsidR="00DE30B9" w:rsidRPr="006A1593" w:rsidRDefault="00DE30B9" w:rsidP="00DE30B9">
      <w:pPr>
        <w:spacing w:after="40"/>
        <w:rPr>
          <w:color w:val="000000"/>
          <w:shd w:val="clear" w:color="auto" w:fill="FFFFFF"/>
          <w:lang w:val="en-US"/>
        </w:rPr>
      </w:pPr>
      <w:r w:rsidRPr="006A1593">
        <w:rPr>
          <w:color w:val="000000"/>
          <w:shd w:val="clear" w:color="auto" w:fill="FFFFFF"/>
          <w:lang w:val="en-US"/>
        </w:rPr>
        <w:t>Royal Adelaide Hospital and The University of Adelaide, Adelaide, Australia (CDB).</w:t>
      </w:r>
    </w:p>
    <w:p w:rsidR="00E8631B" w:rsidRPr="006A1593" w:rsidRDefault="00E8631B" w:rsidP="00DE30B9">
      <w:pPr>
        <w:spacing w:after="40"/>
        <w:rPr>
          <w:rStyle w:val="highlight"/>
          <w:color w:val="000000"/>
          <w:shd w:val="clear" w:color="auto" w:fill="FFFFFF"/>
          <w:lang w:val="en-US"/>
        </w:rPr>
      </w:pPr>
      <w:r w:rsidRPr="006A1593">
        <w:rPr>
          <w:rStyle w:val="highlight"/>
          <w:color w:val="000000"/>
          <w:shd w:val="clear" w:color="auto" w:fill="FFFFFF"/>
          <w:lang w:val="en-US"/>
        </w:rPr>
        <w:t>Department of Neurology, Royal Prince Alfred Hospital, Sydney Health Partners, The University of Sydney, Sydney, New</w:t>
      </w:r>
      <w:r w:rsidR="00DE30B9" w:rsidRPr="006A1593">
        <w:rPr>
          <w:rStyle w:val="highlight"/>
          <w:color w:val="000000"/>
          <w:shd w:val="clear" w:color="auto" w:fill="FFFFFF"/>
          <w:lang w:val="en-US"/>
        </w:rPr>
        <w:t xml:space="preserve"> South Wales, Australia (CD,</w:t>
      </w:r>
      <w:r w:rsidRPr="006A1593">
        <w:rPr>
          <w:rStyle w:val="highlight"/>
          <w:color w:val="000000"/>
          <w:shd w:val="clear" w:color="auto" w:fill="FFFFFF"/>
          <w:lang w:val="en-US"/>
        </w:rPr>
        <w:t xml:space="preserve"> CSA)</w:t>
      </w:r>
    </w:p>
    <w:p w:rsidR="00E8631B" w:rsidRPr="006A1593" w:rsidRDefault="00E8631B" w:rsidP="00E8631B">
      <w:pPr>
        <w:spacing w:after="40"/>
        <w:rPr>
          <w:rStyle w:val="highlight"/>
          <w:color w:val="000000"/>
          <w:shd w:val="clear" w:color="auto" w:fill="FFFFFF"/>
          <w:lang w:val="en-US"/>
        </w:rPr>
      </w:pPr>
      <w:r w:rsidRPr="006A1593">
        <w:rPr>
          <w:rStyle w:val="highlight"/>
          <w:color w:val="000000"/>
          <w:shd w:val="clear" w:color="auto" w:fill="FFFFFF"/>
          <w:lang w:val="en-US"/>
        </w:rPr>
        <w:t>The George Institute for Global Health, Faculty of Medicine, The University of New South Wales, Sydney, New South Wales, Australia (CD, CSA</w:t>
      </w:r>
      <w:r w:rsidR="00DE30B9" w:rsidRPr="006A1593">
        <w:rPr>
          <w:rStyle w:val="highlight"/>
          <w:color w:val="000000"/>
          <w:shd w:val="clear" w:color="auto" w:fill="FFFFFF"/>
          <w:lang w:val="en-US"/>
        </w:rPr>
        <w:t>, ZZ</w:t>
      </w:r>
      <w:r w:rsidRPr="006A1593">
        <w:rPr>
          <w:rStyle w:val="highlight"/>
          <w:color w:val="000000"/>
          <w:shd w:val="clear" w:color="auto" w:fill="FFFFFF"/>
          <w:lang w:val="en-US"/>
        </w:rPr>
        <w:t>).</w:t>
      </w:r>
    </w:p>
    <w:p w:rsidR="00460669" w:rsidRPr="006A1593" w:rsidRDefault="00460669" w:rsidP="00D43E5F">
      <w:pPr>
        <w:spacing w:after="40"/>
        <w:rPr>
          <w:lang w:val="en-US"/>
        </w:rPr>
      </w:pPr>
      <w:r w:rsidRPr="006A1593">
        <w:rPr>
          <w:lang w:val="en-US"/>
        </w:rPr>
        <w:t>Department of Neurosurgery, West China Hospital, Sichuan University, Chengdu, Sichuan 610041, China (ZY, JZ).</w:t>
      </w:r>
    </w:p>
    <w:p w:rsidR="00DE30B9" w:rsidRPr="006A1593" w:rsidRDefault="00460669" w:rsidP="00DE30B9">
      <w:pPr>
        <w:spacing w:after="40"/>
        <w:rPr>
          <w:rStyle w:val="highlight"/>
          <w:color w:val="000000"/>
          <w:shd w:val="clear" w:color="auto" w:fill="FFFFFF"/>
          <w:lang w:val="en-US"/>
        </w:rPr>
      </w:pPr>
      <w:r w:rsidRPr="006A1593">
        <w:rPr>
          <w:lang w:val="en-US"/>
        </w:rPr>
        <w:t>Department of Radiology, Ren Ji Hospital, School of Medicine, Shanghai Jiao Tong University, Shanghai, China (ZZ)</w:t>
      </w:r>
      <w:r w:rsidR="007F5AB1" w:rsidRPr="006A1593">
        <w:rPr>
          <w:lang w:val="en-US"/>
        </w:rPr>
        <w:t>.</w:t>
      </w:r>
      <w:r w:rsidR="00DE30B9" w:rsidRPr="006A1593">
        <w:rPr>
          <w:rStyle w:val="highlight"/>
          <w:color w:val="000000"/>
          <w:shd w:val="clear" w:color="auto" w:fill="FFFFFF"/>
          <w:lang w:val="en-US"/>
        </w:rPr>
        <w:t xml:space="preserve"> </w:t>
      </w:r>
    </w:p>
    <w:p w:rsidR="00460669" w:rsidRPr="006A1593" w:rsidRDefault="00DE30B9" w:rsidP="00D43E5F">
      <w:pPr>
        <w:spacing w:after="40"/>
        <w:rPr>
          <w:rStyle w:val="highlight"/>
          <w:color w:val="000000"/>
          <w:shd w:val="clear" w:color="auto" w:fill="FFFFFF"/>
          <w:lang w:val="en-US"/>
        </w:rPr>
      </w:pPr>
      <w:r w:rsidRPr="006A1593">
        <w:rPr>
          <w:rStyle w:val="highlight"/>
          <w:color w:val="000000"/>
          <w:shd w:val="clear" w:color="auto" w:fill="FFFFFF"/>
          <w:lang w:val="en-US"/>
        </w:rPr>
        <w:t>D</w:t>
      </w:r>
      <w:r w:rsidR="00460669" w:rsidRPr="006A1593">
        <w:rPr>
          <w:rStyle w:val="highlight"/>
          <w:color w:val="000000"/>
          <w:shd w:val="clear" w:color="auto" w:fill="FFFFFF"/>
          <w:lang w:val="en-US"/>
        </w:rPr>
        <w:t>ivision of Neuroradiology and Department of Medical Imaging, Sunnybrook Health Sciences Centre, University of Toronto, Toronto, Canada (RIA).</w:t>
      </w:r>
    </w:p>
    <w:p w:rsidR="003C2BC6" w:rsidRPr="006A1593" w:rsidRDefault="003C2BC6" w:rsidP="00D43E5F">
      <w:pPr>
        <w:spacing w:after="40"/>
        <w:rPr>
          <w:color w:val="000000"/>
          <w:shd w:val="clear" w:color="auto" w:fill="FFFFFF"/>
          <w:lang w:val="en-US"/>
        </w:rPr>
      </w:pPr>
      <w:r w:rsidRPr="006A1593">
        <w:rPr>
          <w:rStyle w:val="highlight"/>
          <w:color w:val="000000"/>
          <w:shd w:val="clear" w:color="auto" w:fill="FFFFFF"/>
          <w:lang w:val="en-US"/>
        </w:rPr>
        <w:t>Division of Neurology, McMaster University / Population Health Research Institute, Hamilton, Canada (AS)</w:t>
      </w:r>
      <w:r w:rsidR="007F5AB1" w:rsidRPr="006A1593">
        <w:rPr>
          <w:rStyle w:val="highlight"/>
          <w:color w:val="000000"/>
          <w:shd w:val="clear" w:color="auto" w:fill="FFFFFF"/>
          <w:lang w:val="en-US"/>
        </w:rPr>
        <w:t>.</w:t>
      </w:r>
    </w:p>
    <w:p w:rsidR="003C2BC6" w:rsidRPr="006A1593" w:rsidRDefault="003C2BC6" w:rsidP="00D43E5F">
      <w:pPr>
        <w:spacing w:after="40"/>
        <w:rPr>
          <w:lang w:val="en-US"/>
        </w:rPr>
      </w:pPr>
      <w:r w:rsidRPr="006A1593">
        <w:rPr>
          <w:lang w:val="en-US"/>
        </w:rPr>
        <w:lastRenderedPageBreak/>
        <w:t>Institute of Clinical Radiology, University of Muenster, Germany (PS).</w:t>
      </w:r>
    </w:p>
    <w:p w:rsidR="00460669" w:rsidRPr="006A1593" w:rsidRDefault="00460669" w:rsidP="00D43E5F">
      <w:pPr>
        <w:spacing w:after="40"/>
        <w:rPr>
          <w:color w:val="000000"/>
          <w:lang w:val="en-US"/>
        </w:rPr>
      </w:pPr>
      <w:r w:rsidRPr="006A1593">
        <w:rPr>
          <w:color w:val="000000"/>
          <w:lang w:val="en-US"/>
        </w:rPr>
        <w:t>J. P. Kistler Stroke Research Center, Massachusetts General Hospital, Harvard Medical School, Boston. (JR, SMG, JNG, AC).</w:t>
      </w:r>
    </w:p>
    <w:p w:rsidR="00460669" w:rsidRPr="006A1593" w:rsidRDefault="00460669" w:rsidP="00D43E5F">
      <w:pPr>
        <w:spacing w:after="40"/>
        <w:rPr>
          <w:rStyle w:val="highlight"/>
          <w:color w:val="000000"/>
          <w:shd w:val="clear" w:color="auto" w:fill="FFFFFF"/>
          <w:lang w:val="en-US"/>
        </w:rPr>
      </w:pPr>
      <w:r w:rsidRPr="006A1593">
        <w:rPr>
          <w:color w:val="000000"/>
          <w:shd w:val="clear" w:color="auto" w:fill="FFFFFF"/>
          <w:lang w:val="en-US"/>
        </w:rPr>
        <w:t>Division of Neurocritical Care and Emergency</w:t>
      </w:r>
      <w:r w:rsidRPr="006A1593">
        <w:rPr>
          <w:rStyle w:val="apple-converted-space"/>
          <w:color w:val="000000"/>
          <w:shd w:val="clear" w:color="auto" w:fill="FFFFFF"/>
          <w:lang w:val="en-US"/>
        </w:rPr>
        <w:t> </w:t>
      </w:r>
      <w:r w:rsidRPr="006A1593">
        <w:rPr>
          <w:rStyle w:val="highlight"/>
          <w:color w:val="000000"/>
          <w:shd w:val="clear" w:color="auto" w:fill="FFFFFF"/>
          <w:lang w:val="en-US"/>
        </w:rPr>
        <w:t>Neurology</w:t>
      </w:r>
      <w:r w:rsidRPr="006A1593">
        <w:rPr>
          <w:color w:val="000000"/>
          <w:shd w:val="clear" w:color="auto" w:fill="FFFFFF"/>
          <w:lang w:val="en-US"/>
        </w:rPr>
        <w:t>, Department of</w:t>
      </w:r>
      <w:r w:rsidRPr="006A1593">
        <w:rPr>
          <w:rStyle w:val="apple-converted-space"/>
          <w:color w:val="000000"/>
          <w:shd w:val="clear" w:color="auto" w:fill="FFFFFF"/>
          <w:lang w:val="en-US"/>
        </w:rPr>
        <w:t> </w:t>
      </w:r>
      <w:r w:rsidRPr="006A1593">
        <w:rPr>
          <w:rStyle w:val="highlight"/>
          <w:color w:val="000000"/>
          <w:shd w:val="clear" w:color="auto" w:fill="FFFFFF"/>
          <w:lang w:val="en-US"/>
        </w:rPr>
        <w:t xml:space="preserve">Neurology, </w:t>
      </w:r>
      <w:r w:rsidRPr="006A1593">
        <w:rPr>
          <w:color w:val="000000"/>
          <w:lang w:val="en-US"/>
        </w:rPr>
        <w:t>Massachusetts General Hospital, Harvard Medical School, Boston</w:t>
      </w:r>
      <w:r w:rsidRPr="006A1593">
        <w:rPr>
          <w:rStyle w:val="highlight"/>
          <w:color w:val="000000"/>
          <w:shd w:val="clear" w:color="auto" w:fill="FFFFFF"/>
          <w:lang w:val="en-US"/>
        </w:rPr>
        <w:t xml:space="preserve"> (JR, JNG).</w:t>
      </w:r>
    </w:p>
    <w:p w:rsidR="009B279E" w:rsidRPr="006A1593" w:rsidRDefault="009B279E" w:rsidP="009B279E">
      <w:pPr>
        <w:spacing w:after="40"/>
        <w:rPr>
          <w:lang w:val="en-US"/>
        </w:rPr>
      </w:pPr>
      <w:r w:rsidRPr="006A1593">
        <w:rPr>
          <w:lang w:val="en-US"/>
        </w:rPr>
        <w:t xml:space="preserve">Henry and Allison McCance Center for Brain Health, </w:t>
      </w:r>
      <w:r w:rsidRPr="006A1593">
        <w:rPr>
          <w:color w:val="000000"/>
          <w:lang w:val="en-US"/>
        </w:rPr>
        <w:t>Massachusetts General Hospital, Boston</w:t>
      </w:r>
      <w:r w:rsidRPr="006A1593">
        <w:rPr>
          <w:rStyle w:val="highlight"/>
          <w:color w:val="000000"/>
          <w:shd w:val="clear" w:color="auto" w:fill="FFFFFF"/>
          <w:lang w:val="en-US"/>
        </w:rPr>
        <w:t xml:space="preserve"> (JR).</w:t>
      </w:r>
    </w:p>
    <w:p w:rsidR="00EB46E4" w:rsidRPr="006A1593" w:rsidRDefault="00EB46E4" w:rsidP="00D43E5F">
      <w:pPr>
        <w:spacing w:after="40"/>
        <w:rPr>
          <w:color w:val="000000"/>
          <w:lang w:val="en-US"/>
        </w:rPr>
      </w:pPr>
      <w:r w:rsidRPr="006A1593">
        <w:rPr>
          <w:lang w:val="en-US"/>
        </w:rPr>
        <w:t>Centre for Clinical Brain Sciences, University of Edinburgh, Edinburgh, UK (RA</w:t>
      </w:r>
      <w:r w:rsidR="00DD5E8D" w:rsidRPr="006A1593">
        <w:rPr>
          <w:lang w:val="en-US"/>
        </w:rPr>
        <w:t>-S</w:t>
      </w:r>
      <w:r w:rsidRPr="006A1593">
        <w:rPr>
          <w:lang w:val="en-US"/>
        </w:rPr>
        <w:t>S)</w:t>
      </w:r>
    </w:p>
    <w:p w:rsidR="00460669" w:rsidRPr="006A1593" w:rsidRDefault="00460669" w:rsidP="00D43E5F">
      <w:pPr>
        <w:spacing w:after="40"/>
        <w:rPr>
          <w:lang w:val="en-US"/>
        </w:rPr>
      </w:pPr>
      <w:proofErr w:type="spellStart"/>
      <w:r w:rsidRPr="006A1593">
        <w:rPr>
          <w:color w:val="000000"/>
          <w:lang w:val="en-US"/>
        </w:rPr>
        <w:t>Zeenat</w:t>
      </w:r>
      <w:proofErr w:type="spellEnd"/>
      <w:r w:rsidRPr="006A1593">
        <w:rPr>
          <w:color w:val="000000"/>
          <w:lang w:val="en-US"/>
        </w:rPr>
        <w:t xml:space="preserve"> Qureshi Stroke Research Center, University of Minnesota, Minneapolis (AIQ).</w:t>
      </w:r>
    </w:p>
    <w:p w:rsidR="00460669" w:rsidRPr="006A1593" w:rsidRDefault="00460669" w:rsidP="00D43E5F">
      <w:pPr>
        <w:spacing w:after="40"/>
        <w:rPr>
          <w:lang w:val="en-US"/>
        </w:rPr>
      </w:pPr>
      <w:r w:rsidRPr="006A1593">
        <w:rPr>
          <w:rStyle w:val="highlight"/>
          <w:color w:val="000000"/>
          <w:shd w:val="clear" w:color="auto" w:fill="FFFFFF"/>
          <w:lang w:val="en-US"/>
        </w:rPr>
        <w:t>Department of Clinical Neurosciences, Department of Radiology, Hotchkiss Brain Institute, University of Calgary, Calgary, Canada (AMD).</w:t>
      </w:r>
    </w:p>
    <w:p w:rsidR="00460669" w:rsidRPr="006A1593" w:rsidRDefault="00460669" w:rsidP="00D43E5F">
      <w:pPr>
        <w:spacing w:after="40"/>
        <w:rPr>
          <w:lang w:val="en-US"/>
        </w:rPr>
      </w:pPr>
      <w:r w:rsidRPr="006A1593">
        <w:rPr>
          <w:color w:val="000000"/>
          <w:lang w:val="en-US"/>
        </w:rPr>
        <w:t>Department of Emergency Medicine, Massachusetts General Hospital, Harvard Medical School, Boston (JNG).</w:t>
      </w:r>
    </w:p>
    <w:p w:rsidR="00274B97" w:rsidRPr="006A1593" w:rsidRDefault="00274B97" w:rsidP="00274B97">
      <w:pPr>
        <w:spacing w:line="240" w:lineRule="auto"/>
        <w:rPr>
          <w:lang w:val="en-US"/>
        </w:rPr>
      </w:pPr>
    </w:p>
    <w:p w:rsidR="00460669" w:rsidRPr="006A1593" w:rsidRDefault="00460669" w:rsidP="00274B97">
      <w:pPr>
        <w:spacing w:line="240" w:lineRule="auto"/>
        <w:rPr>
          <w:sz w:val="24"/>
          <w:szCs w:val="24"/>
          <w:lang w:val="en-US"/>
        </w:rPr>
      </w:pPr>
      <w:r w:rsidRPr="006A1593">
        <w:rPr>
          <w:sz w:val="24"/>
          <w:szCs w:val="24"/>
          <w:lang w:val="en-US"/>
        </w:rPr>
        <w:t xml:space="preserve">* Equal contribution </w:t>
      </w:r>
    </w:p>
    <w:p w:rsidR="00274B97" w:rsidRPr="006A1593" w:rsidRDefault="00274B97" w:rsidP="00274B97">
      <w:pPr>
        <w:spacing w:line="240" w:lineRule="auto"/>
        <w:rPr>
          <w:b/>
          <w:sz w:val="24"/>
          <w:szCs w:val="24"/>
          <w:lang w:val="en-US"/>
        </w:rPr>
      </w:pPr>
    </w:p>
    <w:p w:rsidR="00A048E7" w:rsidRPr="006A1593" w:rsidRDefault="00A048E7" w:rsidP="00274B97">
      <w:pPr>
        <w:spacing w:line="240" w:lineRule="auto"/>
        <w:rPr>
          <w:b/>
          <w:sz w:val="24"/>
          <w:szCs w:val="24"/>
          <w:lang w:val="en-US"/>
        </w:rPr>
      </w:pPr>
    </w:p>
    <w:p w:rsidR="00460669" w:rsidRPr="006A1593" w:rsidRDefault="00460669" w:rsidP="00274B97">
      <w:pPr>
        <w:spacing w:line="240" w:lineRule="auto"/>
        <w:rPr>
          <w:b/>
          <w:sz w:val="24"/>
          <w:szCs w:val="24"/>
          <w:lang w:val="en-US"/>
        </w:rPr>
      </w:pPr>
      <w:r w:rsidRPr="006A1593">
        <w:rPr>
          <w:b/>
          <w:sz w:val="24"/>
          <w:szCs w:val="24"/>
          <w:lang w:val="en-US"/>
        </w:rPr>
        <w:t>Corresponding author:</w:t>
      </w:r>
    </w:p>
    <w:p w:rsidR="00460669" w:rsidRPr="006A1593" w:rsidRDefault="00460669" w:rsidP="00274B97">
      <w:pPr>
        <w:spacing w:line="240" w:lineRule="auto"/>
        <w:rPr>
          <w:sz w:val="24"/>
          <w:szCs w:val="24"/>
          <w:lang w:val="en-US"/>
        </w:rPr>
      </w:pPr>
      <w:r w:rsidRPr="006A1593">
        <w:rPr>
          <w:sz w:val="24"/>
          <w:szCs w:val="24"/>
          <w:lang w:val="en-US"/>
        </w:rPr>
        <w:t xml:space="preserve">Andrea </w:t>
      </w:r>
      <w:proofErr w:type="spellStart"/>
      <w:r w:rsidRPr="006A1593">
        <w:rPr>
          <w:sz w:val="24"/>
          <w:szCs w:val="24"/>
          <w:lang w:val="en-US"/>
        </w:rPr>
        <w:t>Morotti</w:t>
      </w:r>
      <w:proofErr w:type="spellEnd"/>
      <w:r w:rsidRPr="006A1593">
        <w:rPr>
          <w:sz w:val="24"/>
          <w:szCs w:val="24"/>
          <w:lang w:val="en-US"/>
        </w:rPr>
        <w:t>, MD</w:t>
      </w:r>
    </w:p>
    <w:p w:rsidR="006C3295" w:rsidRPr="006A1593" w:rsidRDefault="006C3295" w:rsidP="00274B97">
      <w:pPr>
        <w:spacing w:line="240" w:lineRule="auto"/>
        <w:rPr>
          <w:sz w:val="24"/>
          <w:szCs w:val="24"/>
          <w:lang w:val="en-US"/>
        </w:rPr>
      </w:pPr>
      <w:r w:rsidRPr="006A1593">
        <w:rPr>
          <w:sz w:val="24"/>
          <w:szCs w:val="24"/>
          <w:lang w:val="en-US"/>
        </w:rPr>
        <w:t>Department of Neurology and Neurorehabilitation</w:t>
      </w:r>
    </w:p>
    <w:p w:rsidR="00460669" w:rsidRPr="006A1593" w:rsidRDefault="00460669" w:rsidP="00274B97">
      <w:pPr>
        <w:spacing w:line="240" w:lineRule="auto"/>
        <w:rPr>
          <w:sz w:val="24"/>
          <w:szCs w:val="24"/>
          <w:lang w:val="en-US"/>
        </w:rPr>
      </w:pPr>
      <w:r w:rsidRPr="006A1593">
        <w:rPr>
          <w:sz w:val="24"/>
          <w:szCs w:val="24"/>
          <w:lang w:val="en-US"/>
        </w:rPr>
        <w:t xml:space="preserve">IRCCS </w:t>
      </w:r>
      <w:proofErr w:type="spellStart"/>
      <w:r w:rsidRPr="006A1593">
        <w:rPr>
          <w:sz w:val="24"/>
          <w:szCs w:val="24"/>
          <w:lang w:val="en-US"/>
        </w:rPr>
        <w:t>Mondino</w:t>
      </w:r>
      <w:proofErr w:type="spellEnd"/>
      <w:r w:rsidRPr="006A1593">
        <w:rPr>
          <w:sz w:val="24"/>
          <w:szCs w:val="24"/>
          <w:lang w:val="en-US"/>
        </w:rPr>
        <w:t xml:space="preserve"> Foundation </w:t>
      </w:r>
    </w:p>
    <w:p w:rsidR="00460669" w:rsidRPr="006A1593" w:rsidRDefault="00460669" w:rsidP="00274B97">
      <w:pPr>
        <w:spacing w:line="240" w:lineRule="auto"/>
        <w:rPr>
          <w:sz w:val="24"/>
          <w:szCs w:val="24"/>
        </w:rPr>
      </w:pPr>
      <w:r w:rsidRPr="006A1593">
        <w:rPr>
          <w:sz w:val="24"/>
          <w:szCs w:val="24"/>
        </w:rPr>
        <w:t>Via Mondino 2, 27100, Pavia, Italy</w:t>
      </w:r>
    </w:p>
    <w:p w:rsidR="00460669" w:rsidRPr="006A1593" w:rsidRDefault="00460669" w:rsidP="00274B97">
      <w:pPr>
        <w:spacing w:line="240" w:lineRule="auto"/>
        <w:rPr>
          <w:sz w:val="24"/>
          <w:szCs w:val="24"/>
        </w:rPr>
      </w:pPr>
      <w:r w:rsidRPr="006A1593">
        <w:rPr>
          <w:sz w:val="24"/>
          <w:szCs w:val="24"/>
        </w:rPr>
        <w:t xml:space="preserve">Phone: 00390382501460 </w:t>
      </w:r>
    </w:p>
    <w:p w:rsidR="00460669" w:rsidRPr="006A1593" w:rsidRDefault="00460669" w:rsidP="00274B97">
      <w:pPr>
        <w:spacing w:line="240" w:lineRule="auto"/>
        <w:rPr>
          <w:sz w:val="24"/>
          <w:szCs w:val="24"/>
          <w:lang w:val="en-US"/>
        </w:rPr>
      </w:pPr>
      <w:r w:rsidRPr="006A1593">
        <w:rPr>
          <w:sz w:val="24"/>
          <w:szCs w:val="24"/>
          <w:lang w:val="en-US"/>
        </w:rPr>
        <w:t xml:space="preserve">Email: </w:t>
      </w:r>
      <w:hyperlink r:id="rId8" w:history="1">
        <w:r w:rsidRPr="006A1593">
          <w:rPr>
            <w:rStyle w:val="Hyperlink"/>
            <w:sz w:val="24"/>
            <w:szCs w:val="24"/>
            <w:lang w:val="en-US"/>
          </w:rPr>
          <w:t>andrea.morotti85@gmail.com</w:t>
        </w:r>
      </w:hyperlink>
    </w:p>
    <w:p w:rsidR="00460669" w:rsidRPr="006A1593" w:rsidRDefault="00460669" w:rsidP="00274B97">
      <w:pPr>
        <w:spacing w:line="240" w:lineRule="auto"/>
        <w:rPr>
          <w:sz w:val="24"/>
          <w:szCs w:val="24"/>
          <w:lang w:val="en-US"/>
        </w:rPr>
      </w:pPr>
    </w:p>
    <w:p w:rsidR="004A125F" w:rsidRPr="006A1593" w:rsidRDefault="004A125F" w:rsidP="00274B97">
      <w:pPr>
        <w:spacing w:line="240" w:lineRule="auto"/>
        <w:rPr>
          <w:b/>
          <w:sz w:val="24"/>
          <w:szCs w:val="24"/>
          <w:lang w:val="en-US"/>
        </w:rPr>
      </w:pPr>
    </w:p>
    <w:p w:rsidR="004A125F" w:rsidRPr="006A1593" w:rsidRDefault="004A125F" w:rsidP="00274B97">
      <w:pPr>
        <w:spacing w:line="240" w:lineRule="auto"/>
        <w:rPr>
          <w:b/>
          <w:sz w:val="24"/>
          <w:szCs w:val="24"/>
          <w:lang w:val="en-US"/>
        </w:rPr>
      </w:pPr>
    </w:p>
    <w:p w:rsidR="004A125F" w:rsidRPr="006A1593" w:rsidRDefault="004A125F" w:rsidP="00274B97">
      <w:pPr>
        <w:spacing w:line="240" w:lineRule="auto"/>
        <w:rPr>
          <w:b/>
          <w:sz w:val="24"/>
          <w:szCs w:val="24"/>
          <w:lang w:val="en-US"/>
        </w:rPr>
      </w:pPr>
    </w:p>
    <w:p w:rsidR="004A125F" w:rsidRPr="006A1593" w:rsidRDefault="004A125F" w:rsidP="00274B97">
      <w:pPr>
        <w:spacing w:line="240" w:lineRule="auto"/>
        <w:rPr>
          <w:b/>
          <w:sz w:val="24"/>
          <w:szCs w:val="24"/>
          <w:lang w:val="en-US"/>
        </w:rPr>
      </w:pPr>
    </w:p>
    <w:p w:rsidR="004A125F" w:rsidRPr="006A1593" w:rsidRDefault="004A125F" w:rsidP="00274B97">
      <w:pPr>
        <w:spacing w:line="240" w:lineRule="auto"/>
        <w:rPr>
          <w:b/>
          <w:sz w:val="24"/>
          <w:szCs w:val="24"/>
          <w:lang w:val="en-US"/>
        </w:rPr>
      </w:pPr>
    </w:p>
    <w:p w:rsidR="004A125F" w:rsidRPr="006A1593" w:rsidRDefault="004A125F" w:rsidP="00274B97">
      <w:pPr>
        <w:spacing w:line="240" w:lineRule="auto"/>
        <w:rPr>
          <w:b/>
          <w:sz w:val="24"/>
          <w:szCs w:val="24"/>
          <w:lang w:val="en-US"/>
        </w:rPr>
      </w:pPr>
    </w:p>
    <w:p w:rsidR="004A125F" w:rsidRPr="006A1593" w:rsidRDefault="004A125F" w:rsidP="004A125F">
      <w:pPr>
        <w:spacing w:after="0" w:line="480" w:lineRule="auto"/>
        <w:outlineLvl w:val="0"/>
        <w:rPr>
          <w:sz w:val="24"/>
          <w:szCs w:val="24"/>
          <w:lang w:val="en-GB"/>
        </w:rPr>
      </w:pPr>
      <w:r w:rsidRPr="006A1593">
        <w:rPr>
          <w:b/>
          <w:sz w:val="24"/>
          <w:szCs w:val="24"/>
          <w:lang w:val="en-GB"/>
        </w:rPr>
        <w:lastRenderedPageBreak/>
        <w:t xml:space="preserve">Running Head: </w:t>
      </w:r>
      <w:r w:rsidRPr="006A1593">
        <w:rPr>
          <w:sz w:val="24"/>
          <w:szCs w:val="24"/>
          <w:lang w:val="en-GB"/>
        </w:rPr>
        <w:t>NCCT markers of ICH expansion</w:t>
      </w:r>
    </w:p>
    <w:p w:rsidR="004A125F" w:rsidRPr="006A1593" w:rsidRDefault="004A125F" w:rsidP="004A125F">
      <w:pPr>
        <w:spacing w:after="0" w:line="480" w:lineRule="auto"/>
        <w:rPr>
          <w:b/>
          <w:sz w:val="24"/>
          <w:szCs w:val="24"/>
          <w:lang w:val="en-US"/>
        </w:rPr>
      </w:pPr>
      <w:r w:rsidRPr="006A1593">
        <w:rPr>
          <w:b/>
          <w:sz w:val="24"/>
          <w:szCs w:val="24"/>
          <w:lang w:val="en-GB"/>
        </w:rPr>
        <w:t xml:space="preserve">Search Terms: </w:t>
      </w:r>
      <w:r w:rsidRPr="006A1593">
        <w:rPr>
          <w:sz w:val="24"/>
          <w:szCs w:val="24"/>
          <w:lang w:val="en-US"/>
        </w:rPr>
        <w:t>intracerebral hemorrhage, non-contrast CT, hypodensities, blend sign, swirl sign, black hole sign, satellite sign, island sign, hematoma expansion, stroke</w:t>
      </w:r>
    </w:p>
    <w:p w:rsidR="004A125F" w:rsidRPr="006A1593" w:rsidRDefault="004A125F" w:rsidP="004A125F">
      <w:pPr>
        <w:spacing w:after="0" w:line="480" w:lineRule="auto"/>
        <w:outlineLvl w:val="0"/>
        <w:rPr>
          <w:b/>
          <w:sz w:val="24"/>
          <w:szCs w:val="24"/>
          <w:lang w:val="en-GB"/>
        </w:rPr>
      </w:pPr>
      <w:r w:rsidRPr="006A1593">
        <w:rPr>
          <w:b/>
          <w:sz w:val="24"/>
          <w:szCs w:val="24"/>
          <w:lang w:val="en-GB"/>
        </w:rPr>
        <w:t xml:space="preserve">Manuscript type: </w:t>
      </w:r>
      <w:r w:rsidRPr="006A1593">
        <w:rPr>
          <w:sz w:val="24"/>
          <w:szCs w:val="24"/>
          <w:lang w:val="en-GB"/>
        </w:rPr>
        <w:t xml:space="preserve">Review </w:t>
      </w:r>
    </w:p>
    <w:p w:rsidR="004A125F" w:rsidRPr="006A1593" w:rsidRDefault="004A125F" w:rsidP="004A125F">
      <w:pPr>
        <w:spacing w:after="0" w:line="480" w:lineRule="auto"/>
        <w:outlineLvl w:val="0"/>
        <w:rPr>
          <w:b/>
          <w:sz w:val="24"/>
          <w:szCs w:val="24"/>
          <w:lang w:val="en-GB"/>
        </w:rPr>
      </w:pPr>
      <w:r w:rsidRPr="006A1593">
        <w:rPr>
          <w:b/>
          <w:sz w:val="24"/>
          <w:szCs w:val="24"/>
          <w:lang w:val="en-GB"/>
        </w:rPr>
        <w:t xml:space="preserve">Title word count: </w:t>
      </w:r>
      <w:r w:rsidR="009A06E7" w:rsidRPr="006A1593">
        <w:rPr>
          <w:sz w:val="24"/>
          <w:szCs w:val="24"/>
          <w:lang w:val="en-GB"/>
        </w:rPr>
        <w:t>11</w:t>
      </w:r>
    </w:p>
    <w:p w:rsidR="004A125F" w:rsidRPr="006A1593" w:rsidRDefault="004A125F" w:rsidP="004A125F">
      <w:pPr>
        <w:spacing w:after="0" w:line="480" w:lineRule="auto"/>
        <w:outlineLvl w:val="0"/>
        <w:rPr>
          <w:b/>
          <w:sz w:val="24"/>
          <w:szCs w:val="24"/>
          <w:lang w:val="en-GB"/>
        </w:rPr>
      </w:pPr>
      <w:r w:rsidRPr="006A1593">
        <w:rPr>
          <w:b/>
          <w:sz w:val="24"/>
          <w:szCs w:val="24"/>
          <w:lang w:val="en-GB"/>
        </w:rPr>
        <w:t xml:space="preserve">Title character count: </w:t>
      </w:r>
      <w:r w:rsidR="009A06E7" w:rsidRPr="006A1593">
        <w:rPr>
          <w:sz w:val="24"/>
          <w:szCs w:val="24"/>
          <w:lang w:val="en-GB"/>
        </w:rPr>
        <w:t>81</w:t>
      </w:r>
    </w:p>
    <w:p w:rsidR="004A125F" w:rsidRPr="006A1593" w:rsidRDefault="004A125F" w:rsidP="004A125F">
      <w:pPr>
        <w:spacing w:after="0" w:line="480" w:lineRule="auto"/>
        <w:outlineLvl w:val="0"/>
        <w:rPr>
          <w:b/>
          <w:sz w:val="24"/>
          <w:szCs w:val="24"/>
          <w:lang w:val="en-GB"/>
        </w:rPr>
      </w:pPr>
      <w:r w:rsidRPr="006A1593">
        <w:rPr>
          <w:b/>
          <w:sz w:val="24"/>
          <w:szCs w:val="24"/>
          <w:lang w:val="en-GB"/>
        </w:rPr>
        <w:t xml:space="preserve">Running head word count: </w:t>
      </w:r>
      <w:r w:rsidRPr="006A1593">
        <w:rPr>
          <w:sz w:val="24"/>
          <w:szCs w:val="24"/>
          <w:lang w:val="en-GB"/>
        </w:rPr>
        <w:t>5</w:t>
      </w:r>
    </w:p>
    <w:p w:rsidR="004A125F" w:rsidRPr="006A1593" w:rsidRDefault="004A125F" w:rsidP="004A125F">
      <w:pPr>
        <w:spacing w:after="0" w:line="480" w:lineRule="auto"/>
        <w:outlineLvl w:val="0"/>
        <w:rPr>
          <w:b/>
          <w:sz w:val="24"/>
          <w:szCs w:val="24"/>
          <w:lang w:val="en-GB"/>
        </w:rPr>
      </w:pPr>
      <w:r w:rsidRPr="006A1593">
        <w:rPr>
          <w:b/>
          <w:sz w:val="24"/>
          <w:szCs w:val="24"/>
          <w:lang w:val="en-GB"/>
        </w:rPr>
        <w:t xml:space="preserve">Running head character count: </w:t>
      </w:r>
      <w:r w:rsidRPr="006A1593">
        <w:rPr>
          <w:sz w:val="24"/>
          <w:szCs w:val="24"/>
          <w:lang w:val="en-GB"/>
        </w:rPr>
        <w:t>29</w:t>
      </w:r>
    </w:p>
    <w:p w:rsidR="004A125F" w:rsidRPr="006A1593" w:rsidRDefault="004A125F" w:rsidP="004A125F">
      <w:pPr>
        <w:spacing w:after="0" w:line="480" w:lineRule="auto"/>
        <w:outlineLvl w:val="0"/>
        <w:rPr>
          <w:b/>
          <w:sz w:val="24"/>
          <w:szCs w:val="24"/>
          <w:lang w:val="en-GB"/>
        </w:rPr>
      </w:pPr>
      <w:r w:rsidRPr="006A1593">
        <w:rPr>
          <w:b/>
          <w:sz w:val="24"/>
          <w:szCs w:val="24"/>
          <w:lang w:val="en-GB"/>
        </w:rPr>
        <w:t xml:space="preserve">Abstract word count: </w:t>
      </w:r>
      <w:r w:rsidRPr="006A1593">
        <w:rPr>
          <w:sz w:val="24"/>
          <w:szCs w:val="24"/>
          <w:lang w:val="en-GB"/>
        </w:rPr>
        <w:t>100</w:t>
      </w:r>
    </w:p>
    <w:p w:rsidR="004A125F" w:rsidRPr="006A1593" w:rsidRDefault="004A125F" w:rsidP="004A125F">
      <w:pPr>
        <w:spacing w:after="0" w:line="480" w:lineRule="auto"/>
        <w:outlineLvl w:val="0"/>
        <w:rPr>
          <w:b/>
          <w:sz w:val="24"/>
          <w:szCs w:val="24"/>
          <w:lang w:val="en-GB"/>
        </w:rPr>
      </w:pPr>
      <w:r w:rsidRPr="006A1593">
        <w:rPr>
          <w:b/>
          <w:sz w:val="24"/>
          <w:szCs w:val="24"/>
          <w:lang w:val="en-GB"/>
        </w:rPr>
        <w:t>Text word Count:</w:t>
      </w:r>
      <w:r w:rsidR="00B84652" w:rsidRPr="006A1593">
        <w:rPr>
          <w:b/>
          <w:sz w:val="24"/>
          <w:szCs w:val="24"/>
          <w:lang w:val="en-GB"/>
        </w:rPr>
        <w:t xml:space="preserve"> </w:t>
      </w:r>
      <w:r w:rsidR="000B4C3E" w:rsidRPr="006A1593">
        <w:rPr>
          <w:sz w:val="24"/>
          <w:szCs w:val="24"/>
          <w:lang w:val="en-GB"/>
        </w:rPr>
        <w:t>4435</w:t>
      </w:r>
      <w:r w:rsidRPr="006A1593">
        <w:rPr>
          <w:b/>
          <w:sz w:val="24"/>
          <w:szCs w:val="24"/>
          <w:lang w:val="en-GB"/>
        </w:rPr>
        <w:t xml:space="preserve">       </w:t>
      </w:r>
    </w:p>
    <w:p w:rsidR="004A125F" w:rsidRPr="006A1593" w:rsidRDefault="004A125F" w:rsidP="004A125F">
      <w:pPr>
        <w:spacing w:after="0" w:line="480" w:lineRule="auto"/>
        <w:outlineLvl w:val="0"/>
        <w:rPr>
          <w:sz w:val="24"/>
          <w:szCs w:val="24"/>
          <w:lang w:val="en-GB"/>
        </w:rPr>
      </w:pPr>
      <w:r w:rsidRPr="006A1593">
        <w:rPr>
          <w:b/>
          <w:sz w:val="24"/>
          <w:szCs w:val="24"/>
          <w:lang w:val="en-GB"/>
        </w:rPr>
        <w:t>Number of references:</w:t>
      </w:r>
      <w:r w:rsidRPr="006A1593">
        <w:rPr>
          <w:sz w:val="24"/>
          <w:szCs w:val="24"/>
          <w:lang w:val="en-GB"/>
        </w:rPr>
        <w:t xml:space="preserve"> </w:t>
      </w:r>
      <w:r w:rsidR="00BA1458" w:rsidRPr="006A1593">
        <w:rPr>
          <w:sz w:val="24"/>
          <w:szCs w:val="24"/>
          <w:lang w:val="en-GB"/>
        </w:rPr>
        <w:t>78</w:t>
      </w:r>
    </w:p>
    <w:p w:rsidR="004A125F" w:rsidRPr="006A1593" w:rsidRDefault="004A125F" w:rsidP="004A125F">
      <w:pPr>
        <w:spacing w:after="0" w:line="480" w:lineRule="auto"/>
        <w:outlineLvl w:val="0"/>
        <w:rPr>
          <w:b/>
          <w:sz w:val="24"/>
          <w:szCs w:val="24"/>
          <w:lang w:val="en-GB"/>
        </w:rPr>
      </w:pPr>
      <w:r w:rsidRPr="006A1593">
        <w:rPr>
          <w:b/>
          <w:sz w:val="24"/>
          <w:szCs w:val="24"/>
          <w:lang w:val="en-GB"/>
        </w:rPr>
        <w:t xml:space="preserve">Figures: </w:t>
      </w:r>
      <w:r w:rsidRPr="006A1593">
        <w:rPr>
          <w:sz w:val="24"/>
          <w:szCs w:val="24"/>
          <w:lang w:val="en-GB"/>
        </w:rPr>
        <w:t xml:space="preserve">2 </w:t>
      </w:r>
    </w:p>
    <w:p w:rsidR="004A125F" w:rsidRPr="006A1593" w:rsidRDefault="004A125F" w:rsidP="004A125F">
      <w:pPr>
        <w:spacing w:after="0" w:line="480" w:lineRule="auto"/>
        <w:outlineLvl w:val="0"/>
        <w:rPr>
          <w:b/>
          <w:sz w:val="24"/>
          <w:szCs w:val="24"/>
          <w:lang w:val="en-GB"/>
        </w:rPr>
      </w:pPr>
      <w:r w:rsidRPr="006A1593">
        <w:rPr>
          <w:b/>
          <w:sz w:val="24"/>
          <w:szCs w:val="24"/>
          <w:lang w:val="en-GB"/>
        </w:rPr>
        <w:t xml:space="preserve">Tables: </w:t>
      </w:r>
      <w:r w:rsidR="00A05518" w:rsidRPr="006A1593">
        <w:rPr>
          <w:sz w:val="24"/>
          <w:szCs w:val="24"/>
          <w:lang w:val="en-GB"/>
        </w:rPr>
        <w:t>4</w:t>
      </w:r>
    </w:p>
    <w:p w:rsidR="004A125F" w:rsidRPr="006A1593" w:rsidRDefault="004A125F" w:rsidP="004A125F">
      <w:pPr>
        <w:spacing w:after="60" w:line="480" w:lineRule="auto"/>
        <w:outlineLvl w:val="0"/>
        <w:rPr>
          <w:b/>
          <w:sz w:val="24"/>
          <w:szCs w:val="24"/>
          <w:lang w:val="en-GB"/>
        </w:rPr>
      </w:pPr>
    </w:p>
    <w:p w:rsidR="004A125F" w:rsidRPr="006A1593" w:rsidRDefault="004A125F" w:rsidP="004A125F">
      <w:pPr>
        <w:spacing w:after="60" w:line="480" w:lineRule="auto"/>
        <w:outlineLvl w:val="0"/>
        <w:rPr>
          <w:color w:val="231F20"/>
          <w:sz w:val="24"/>
          <w:szCs w:val="24"/>
          <w:lang w:val="en-US"/>
        </w:rPr>
      </w:pPr>
      <w:r w:rsidRPr="006A1593">
        <w:rPr>
          <w:b/>
          <w:sz w:val="24"/>
          <w:szCs w:val="24"/>
          <w:lang w:val="en-GB"/>
        </w:rPr>
        <w:t xml:space="preserve">Supplementary material: </w:t>
      </w:r>
      <w:r w:rsidR="00553E5D" w:rsidRPr="006A1593">
        <w:rPr>
          <w:sz w:val="24"/>
          <w:szCs w:val="24"/>
          <w:lang w:val="en-GB"/>
        </w:rPr>
        <w:t>study quality with</w:t>
      </w:r>
      <w:r w:rsidR="00DE30B9" w:rsidRPr="006A1593">
        <w:rPr>
          <w:sz w:val="24"/>
          <w:szCs w:val="24"/>
          <w:lang w:val="en-GB"/>
        </w:rPr>
        <w:t xml:space="preserve"> risk of bias assessment</w:t>
      </w:r>
      <w:r w:rsidRPr="006A1593">
        <w:rPr>
          <w:sz w:val="24"/>
          <w:szCs w:val="24"/>
          <w:lang w:val="en-GB"/>
        </w:rPr>
        <w:t xml:space="preserve"> and training material.</w:t>
      </w:r>
    </w:p>
    <w:p w:rsidR="004A125F" w:rsidRPr="006A1593" w:rsidRDefault="004A125F" w:rsidP="00274B97">
      <w:pPr>
        <w:spacing w:line="240" w:lineRule="auto"/>
        <w:rPr>
          <w:b/>
          <w:sz w:val="24"/>
          <w:szCs w:val="24"/>
          <w:lang w:val="en-US"/>
        </w:rPr>
      </w:pPr>
    </w:p>
    <w:p w:rsidR="004A125F" w:rsidRPr="006A1593" w:rsidRDefault="004A125F" w:rsidP="00274B97">
      <w:pPr>
        <w:spacing w:line="240" w:lineRule="auto"/>
        <w:rPr>
          <w:b/>
          <w:sz w:val="24"/>
          <w:szCs w:val="24"/>
          <w:lang w:val="en-US"/>
        </w:rPr>
      </w:pPr>
    </w:p>
    <w:p w:rsidR="004A125F" w:rsidRPr="006A1593" w:rsidRDefault="004A125F" w:rsidP="00274B97">
      <w:pPr>
        <w:spacing w:line="240" w:lineRule="auto"/>
        <w:rPr>
          <w:b/>
          <w:sz w:val="24"/>
          <w:szCs w:val="24"/>
          <w:lang w:val="en-US"/>
        </w:rPr>
      </w:pPr>
    </w:p>
    <w:p w:rsidR="004A125F" w:rsidRPr="006A1593" w:rsidRDefault="004A125F" w:rsidP="00274B97">
      <w:pPr>
        <w:spacing w:line="240" w:lineRule="auto"/>
        <w:rPr>
          <w:b/>
          <w:sz w:val="24"/>
          <w:szCs w:val="24"/>
          <w:lang w:val="en-US"/>
        </w:rPr>
      </w:pPr>
    </w:p>
    <w:p w:rsidR="004A125F" w:rsidRPr="006A1593" w:rsidRDefault="004A125F" w:rsidP="00274B97">
      <w:pPr>
        <w:spacing w:line="240" w:lineRule="auto"/>
        <w:rPr>
          <w:b/>
          <w:sz w:val="24"/>
          <w:szCs w:val="24"/>
          <w:lang w:val="en-US"/>
        </w:rPr>
      </w:pPr>
    </w:p>
    <w:p w:rsidR="004A125F" w:rsidRPr="006A1593" w:rsidRDefault="004A125F" w:rsidP="00274B97">
      <w:pPr>
        <w:spacing w:line="240" w:lineRule="auto"/>
        <w:rPr>
          <w:b/>
          <w:sz w:val="24"/>
          <w:szCs w:val="24"/>
          <w:lang w:val="en-US"/>
        </w:rPr>
      </w:pPr>
    </w:p>
    <w:p w:rsidR="004A125F" w:rsidRPr="006A1593" w:rsidRDefault="004A125F" w:rsidP="00274B97">
      <w:pPr>
        <w:spacing w:line="240" w:lineRule="auto"/>
        <w:rPr>
          <w:b/>
          <w:sz w:val="24"/>
          <w:szCs w:val="24"/>
          <w:lang w:val="en-US"/>
        </w:rPr>
      </w:pPr>
    </w:p>
    <w:p w:rsidR="004A125F" w:rsidRPr="006A1593" w:rsidRDefault="004A125F" w:rsidP="00274B97">
      <w:pPr>
        <w:spacing w:line="240" w:lineRule="auto"/>
        <w:rPr>
          <w:b/>
          <w:sz w:val="24"/>
          <w:szCs w:val="24"/>
          <w:lang w:val="en-US"/>
        </w:rPr>
      </w:pPr>
    </w:p>
    <w:p w:rsidR="004A125F" w:rsidRPr="006A1593" w:rsidRDefault="004A125F" w:rsidP="00274B97">
      <w:pPr>
        <w:spacing w:line="240" w:lineRule="auto"/>
        <w:rPr>
          <w:b/>
          <w:sz w:val="24"/>
          <w:szCs w:val="24"/>
          <w:lang w:val="en-US"/>
        </w:rPr>
      </w:pPr>
    </w:p>
    <w:p w:rsidR="004A125F" w:rsidRPr="006A1593" w:rsidRDefault="004A125F" w:rsidP="00274B97">
      <w:pPr>
        <w:spacing w:line="240" w:lineRule="auto"/>
        <w:rPr>
          <w:b/>
          <w:sz w:val="24"/>
          <w:szCs w:val="24"/>
          <w:lang w:val="en-US"/>
        </w:rPr>
      </w:pPr>
    </w:p>
    <w:p w:rsidR="004A125F" w:rsidRPr="006A1593" w:rsidRDefault="004A125F" w:rsidP="00274B97">
      <w:pPr>
        <w:spacing w:line="240" w:lineRule="auto"/>
        <w:rPr>
          <w:b/>
          <w:sz w:val="24"/>
          <w:szCs w:val="24"/>
          <w:lang w:val="en-US"/>
        </w:rPr>
      </w:pPr>
    </w:p>
    <w:p w:rsidR="00E25027" w:rsidRPr="006A1593" w:rsidRDefault="00B81F76" w:rsidP="00E25027">
      <w:pPr>
        <w:rPr>
          <w:b/>
          <w:sz w:val="24"/>
          <w:szCs w:val="24"/>
          <w:lang w:val="en-US"/>
        </w:rPr>
      </w:pPr>
      <w:r w:rsidRPr="006A1593">
        <w:rPr>
          <w:b/>
          <w:sz w:val="24"/>
          <w:szCs w:val="24"/>
          <w:lang w:val="en-US"/>
        </w:rPr>
        <w:lastRenderedPageBreak/>
        <w:t>ABSTRACT</w:t>
      </w:r>
    </w:p>
    <w:p w:rsidR="00CF5392" w:rsidRPr="006A1593" w:rsidRDefault="00AC7FC9" w:rsidP="00E25027">
      <w:pPr>
        <w:rPr>
          <w:b/>
          <w:sz w:val="24"/>
          <w:szCs w:val="24"/>
          <w:lang w:val="en-US"/>
        </w:rPr>
      </w:pPr>
      <w:r w:rsidRPr="006A1593">
        <w:rPr>
          <w:sz w:val="24"/>
          <w:szCs w:val="24"/>
          <w:lang w:val="en-US"/>
        </w:rPr>
        <w:t>Significant h</w:t>
      </w:r>
      <w:r w:rsidR="00EB46E4" w:rsidRPr="006A1593">
        <w:rPr>
          <w:sz w:val="24"/>
          <w:szCs w:val="24"/>
          <w:lang w:val="en-US"/>
        </w:rPr>
        <w:t xml:space="preserve">ematoma expansion </w:t>
      </w:r>
      <w:r w:rsidR="00E64FFC" w:rsidRPr="006A1593">
        <w:rPr>
          <w:sz w:val="24"/>
          <w:szCs w:val="24"/>
          <w:lang w:val="en-US"/>
        </w:rPr>
        <w:t xml:space="preserve">(HE) </w:t>
      </w:r>
      <w:r w:rsidR="00EB46E4" w:rsidRPr="006A1593">
        <w:rPr>
          <w:sz w:val="24"/>
          <w:szCs w:val="24"/>
          <w:lang w:val="en-US"/>
        </w:rPr>
        <w:t>affects one-fifth of people within 24 hours after acute intracerebral</w:t>
      </w:r>
      <w:r w:rsidR="00B81F76" w:rsidRPr="006A1593">
        <w:rPr>
          <w:sz w:val="24"/>
          <w:szCs w:val="24"/>
          <w:lang w:val="en-US"/>
        </w:rPr>
        <w:t xml:space="preserve"> hemorrhage (ICH) and </w:t>
      </w:r>
      <w:r w:rsidR="00EB46E4" w:rsidRPr="006A1593">
        <w:rPr>
          <w:sz w:val="24"/>
          <w:szCs w:val="24"/>
          <w:lang w:val="en-US"/>
        </w:rPr>
        <w:t xml:space="preserve">its prevention is an appealing treatment target. Although the </w:t>
      </w:r>
      <w:r w:rsidR="00172D20" w:rsidRPr="006A1593">
        <w:rPr>
          <w:sz w:val="24"/>
          <w:szCs w:val="24"/>
          <w:lang w:val="en-US"/>
        </w:rPr>
        <w:t xml:space="preserve">CT-Angiography </w:t>
      </w:r>
      <w:r w:rsidR="00EB46E4" w:rsidRPr="006A1593">
        <w:rPr>
          <w:sz w:val="24"/>
          <w:szCs w:val="24"/>
          <w:lang w:val="en-US"/>
        </w:rPr>
        <w:t xml:space="preserve">spot sign predicts </w:t>
      </w:r>
      <w:r w:rsidR="00E64FFC" w:rsidRPr="006A1593">
        <w:rPr>
          <w:sz w:val="24"/>
          <w:szCs w:val="24"/>
          <w:lang w:val="en-US"/>
        </w:rPr>
        <w:t>HE</w:t>
      </w:r>
      <w:r w:rsidR="00EB46E4" w:rsidRPr="006A1593">
        <w:rPr>
          <w:sz w:val="24"/>
          <w:szCs w:val="24"/>
          <w:lang w:val="en-US"/>
        </w:rPr>
        <w:t>, only a minority of ICH patients receive</w:t>
      </w:r>
      <w:r w:rsidR="009B279E" w:rsidRPr="006A1593">
        <w:rPr>
          <w:sz w:val="24"/>
          <w:szCs w:val="24"/>
          <w:lang w:val="en-US"/>
        </w:rPr>
        <w:t>s</w:t>
      </w:r>
      <w:r w:rsidR="00EB46E4" w:rsidRPr="006A1593">
        <w:rPr>
          <w:sz w:val="24"/>
          <w:szCs w:val="24"/>
          <w:lang w:val="en-US"/>
        </w:rPr>
        <w:t xml:space="preserve"> </w:t>
      </w:r>
      <w:r w:rsidR="00172D20" w:rsidRPr="006A1593">
        <w:rPr>
          <w:sz w:val="24"/>
          <w:szCs w:val="24"/>
          <w:lang w:val="en-US"/>
        </w:rPr>
        <w:t>contrast injection</w:t>
      </w:r>
      <w:r w:rsidR="006F5330" w:rsidRPr="006A1593">
        <w:rPr>
          <w:sz w:val="24"/>
          <w:szCs w:val="24"/>
          <w:lang w:val="en-US"/>
        </w:rPr>
        <w:t>. Conversely, non-</w:t>
      </w:r>
      <w:r w:rsidR="00EB46E4" w:rsidRPr="006A1593">
        <w:rPr>
          <w:sz w:val="24"/>
          <w:szCs w:val="24"/>
          <w:lang w:val="en-US"/>
        </w:rPr>
        <w:t xml:space="preserve">contrast CT (NCCT) is used to </w:t>
      </w:r>
      <w:r w:rsidR="006F5330" w:rsidRPr="006A1593">
        <w:rPr>
          <w:sz w:val="24"/>
          <w:szCs w:val="24"/>
          <w:lang w:val="en-US"/>
        </w:rPr>
        <w:t>diagnose nearly all ICH</w:t>
      </w:r>
      <w:r w:rsidR="00EB46E4" w:rsidRPr="006A1593">
        <w:rPr>
          <w:sz w:val="24"/>
          <w:szCs w:val="24"/>
          <w:lang w:val="en-US"/>
        </w:rPr>
        <w:t xml:space="preserve">, so NCCT markers represent a </w:t>
      </w:r>
      <w:proofErr w:type="gramStart"/>
      <w:r w:rsidR="00EB46E4" w:rsidRPr="006A1593">
        <w:rPr>
          <w:sz w:val="24"/>
          <w:szCs w:val="24"/>
          <w:lang w:val="en-US"/>
        </w:rPr>
        <w:t>widely-available</w:t>
      </w:r>
      <w:proofErr w:type="gramEnd"/>
      <w:r w:rsidR="00EB46E4" w:rsidRPr="006A1593">
        <w:rPr>
          <w:sz w:val="24"/>
          <w:szCs w:val="24"/>
          <w:lang w:val="en-US"/>
        </w:rPr>
        <w:t xml:space="preserve"> alternative for prediction </w:t>
      </w:r>
      <w:r w:rsidR="00D43E5F" w:rsidRPr="006A1593">
        <w:rPr>
          <w:sz w:val="24"/>
          <w:szCs w:val="24"/>
          <w:lang w:val="en-US"/>
        </w:rPr>
        <w:t xml:space="preserve">of </w:t>
      </w:r>
      <w:r w:rsidR="00E64FFC" w:rsidRPr="006A1593">
        <w:rPr>
          <w:sz w:val="24"/>
          <w:szCs w:val="24"/>
          <w:lang w:val="en-US"/>
        </w:rPr>
        <w:t>HE</w:t>
      </w:r>
      <w:r w:rsidR="00EB46E4" w:rsidRPr="006A1593">
        <w:rPr>
          <w:sz w:val="24"/>
          <w:szCs w:val="24"/>
          <w:lang w:val="en-US"/>
        </w:rPr>
        <w:t xml:space="preserve">. However, </w:t>
      </w:r>
      <w:r w:rsidR="006902ED" w:rsidRPr="006A1593">
        <w:rPr>
          <w:sz w:val="24"/>
          <w:szCs w:val="24"/>
          <w:lang w:val="en-US"/>
        </w:rPr>
        <w:t>different NCCT signs describ</w:t>
      </w:r>
      <w:r w:rsidR="00A048E7" w:rsidRPr="006A1593">
        <w:rPr>
          <w:sz w:val="24"/>
          <w:szCs w:val="24"/>
          <w:lang w:val="en-US"/>
        </w:rPr>
        <w:t>e similar</w:t>
      </w:r>
      <w:r w:rsidR="00B81F76" w:rsidRPr="006A1593">
        <w:rPr>
          <w:sz w:val="24"/>
          <w:szCs w:val="24"/>
          <w:lang w:val="en-US"/>
        </w:rPr>
        <w:t xml:space="preserve"> </w:t>
      </w:r>
      <w:r w:rsidR="006902ED" w:rsidRPr="006A1593">
        <w:rPr>
          <w:sz w:val="24"/>
          <w:szCs w:val="24"/>
          <w:lang w:val="en-US"/>
        </w:rPr>
        <w:t>features</w:t>
      </w:r>
      <w:r w:rsidR="00EB46E4" w:rsidRPr="006A1593">
        <w:rPr>
          <w:sz w:val="24"/>
          <w:szCs w:val="24"/>
          <w:lang w:val="en-US"/>
        </w:rPr>
        <w:t xml:space="preserve">, with lack of consensus on the optimal image acquisition protocol, assessment, terminology and diagnostic criteria. In this review we propose practical guidelines for detecting, interpreting and reporting NCCT predictors of </w:t>
      </w:r>
      <w:r w:rsidR="00E64FFC" w:rsidRPr="006A1593">
        <w:rPr>
          <w:sz w:val="24"/>
          <w:szCs w:val="24"/>
          <w:lang w:val="en-US"/>
        </w:rPr>
        <w:t>HE</w:t>
      </w:r>
      <w:r w:rsidR="00EB46E4" w:rsidRPr="006A1593">
        <w:rPr>
          <w:sz w:val="24"/>
          <w:szCs w:val="24"/>
          <w:lang w:val="en-US"/>
        </w:rPr>
        <w:t xml:space="preserve">. </w:t>
      </w:r>
    </w:p>
    <w:p w:rsidR="005D596C" w:rsidRPr="006A1593" w:rsidRDefault="00CF5392" w:rsidP="004A125F">
      <w:pPr>
        <w:rPr>
          <w:sz w:val="24"/>
          <w:szCs w:val="24"/>
          <w:lang w:val="en-US"/>
        </w:rPr>
      </w:pPr>
      <w:r w:rsidRPr="006A1593">
        <w:rPr>
          <w:lang w:val="en-US"/>
        </w:rPr>
        <w:br w:type="page"/>
      </w:r>
    </w:p>
    <w:p w:rsidR="00D6099E" w:rsidRPr="006A1593" w:rsidRDefault="004A125F" w:rsidP="005D596C">
      <w:pPr>
        <w:pStyle w:val="Heading1"/>
        <w:rPr>
          <w:rFonts w:ascii="Times New Roman" w:hAnsi="Times New Roman"/>
          <w:sz w:val="24"/>
          <w:szCs w:val="24"/>
          <w:u w:val="none"/>
          <w:lang w:val="en-US"/>
        </w:rPr>
      </w:pPr>
      <w:r w:rsidRPr="006A1593">
        <w:rPr>
          <w:rFonts w:ascii="Times New Roman" w:hAnsi="Times New Roman"/>
          <w:sz w:val="24"/>
          <w:szCs w:val="24"/>
          <w:u w:val="none"/>
          <w:lang w:val="en-US"/>
        </w:rPr>
        <w:lastRenderedPageBreak/>
        <w:t>I</w:t>
      </w:r>
      <w:r w:rsidR="005D596C" w:rsidRPr="006A1593">
        <w:rPr>
          <w:rFonts w:ascii="Times New Roman" w:hAnsi="Times New Roman"/>
          <w:sz w:val="24"/>
          <w:szCs w:val="24"/>
          <w:u w:val="none"/>
          <w:lang w:val="en-US"/>
        </w:rPr>
        <w:t>NTRODUCTION</w:t>
      </w:r>
    </w:p>
    <w:p w:rsidR="006902ED" w:rsidRPr="006A1593" w:rsidRDefault="006902ED" w:rsidP="006902ED">
      <w:pPr>
        <w:rPr>
          <w:sz w:val="24"/>
          <w:szCs w:val="24"/>
          <w:lang w:val="en-US"/>
        </w:rPr>
      </w:pPr>
      <w:r w:rsidRPr="006A1593">
        <w:rPr>
          <w:sz w:val="24"/>
          <w:szCs w:val="24"/>
          <w:lang w:val="en-US"/>
        </w:rPr>
        <w:t>Spontaneous intracerebral hemorrhage (ICH) remains a major cause of morbidity and mortality worldwide.</w:t>
      </w:r>
      <w:r w:rsidR="009134B6" w:rsidRPr="006A1593">
        <w:rPr>
          <w:sz w:val="24"/>
          <w:szCs w:val="24"/>
          <w:lang w:val="en-US"/>
        </w:rPr>
        <w:fldChar w:fldCharType="begin" w:fldLock="1"/>
      </w:r>
      <w:r w:rsidR="00072865" w:rsidRPr="006A1593">
        <w:rPr>
          <w:sz w:val="24"/>
          <w:szCs w:val="24"/>
          <w:lang w:val="en-US"/>
        </w:rPr>
        <w:instrText>ADDIN CSL_CITATION {"citationItems":[{"id":"ITEM-1","itemData":{"DOI":"10.1016/S0140-6736(09)60371-8","ISSN":"01406736","PMID":"19427958","abstract":"Intracerebral haemorrhage is an important public health problem leading to high rates of death and disability in adults. Although the number of hospital admissions for intracerebral haemorrhage has increased worldwide in the past 10 years, mortality has not fallen. Results of clinical trials and observational studies suggest that coordinated primary and specialty care is associated with lower mortality than is typical community practice. Development of treatment goals for critical care, and new sequences of care and specialty practice can improve outcome after intracerebral haemorrhage. Specific treatment approaches include early diagnosis and haemostasis, aggressive management of blood pressure, open surgical and minimally invasive surgical techniques to remove clot, techniques to remove intraventricular blood, and management of intracranial pressure. These approaches improve clinical management of patients with intracerebral haemorrhage and promise to reduce mortality and increase functional survival.","author":[{"dropping-particle":"","family":"Qureshi","given":"Adnan I","non-dropping-particle":"","parse-names":false,"suffix":""},{"dropping-particle":"","family":"Mendelow","given":"A David","non-dropping-particle":"","parse-names":false,"suffix":""},{"dropping-particle":"","family":"Hanley","given":"Daniel F","non-dropping-particle":"","parse-names":false,"suffix":""}],"container-title":"The Lancet","id":"ITEM-1","issue":"9675","issued":{"date-parts":[["2009","5","9"]]},"page":"1632-1644","title":"Intracerebral haemorrhage","type":"article-journal","volume":"373"},"uris":["http://www.mendeley.com/documents/?uuid=db7faf96-edbe-43ee-9fc4-f18b144e6ea3"]},{"id":"ITEM-2","itemData":{"DOI":"10.1159/000441085","ISSN":"1423-0208","PMID":"26505981","abstract":"BACKGROUND Global stroke epidemiology is changing rapidly. Although age-standardized rates of stroke mortality have decreased worldwide in the past 2 decades, the absolute numbers of people who have a stroke every year, and live with the consequences of stroke or die from their stroke, are increasing. Regular updates on the current level of stroke burden are important for advancing our knowledge on stroke epidemiology and facilitate organization and planning of evidence-based stroke care. OBJECTIVES This study aims to estimate incidence, prevalence, mortality, disability-adjusted life years (DALYs) and years lived with disability (YLDs) and their trends for ischemic stroke (IS) and hemorrhagic stroke (HS) for 188 countries from 1990 to 2013. METHODOLOGY Stroke incidence, prevalence, mortality, DALYs and YLDs were estimated using all available data on mortality and stroke incidence, prevalence and excess mortality. Statistical models and country-level covariate data were employed, and all rates were age-standardized to a global population. All estimates were produced with 95% uncertainty intervals (UIs). RESULTS In 2013, there were globally almost 25.7 million stroke survivors (71% with IS), 6.5 million deaths from stroke (51% died from IS), 113 million DALYs due to stroke (58% due to IS) and 10.3 million new strokes (67% IS). Over the 1990-2013 period, there was a significant increase in the absolute number of DALYs due to IS, and of deaths from IS and HS, survivors and incident events for both IS and HS. The preponderance of the burden of stroke continued to reside in developing countries, comprising 75.2% of deaths from stroke and 81.0% of stroke-related DALYs. Globally, the proportional contribution of stroke-related DALYs and deaths due to stroke compared to all diseases increased from 1990 (3.54% (95% UI 3.11-4.00) and 9.66% (95% UI 8.47-10.70), respectively) to 2013 (4.62% (95% UI 4.01-5.30) and 11.75% (95% UI 10.45-13.31), respectively), but there was a diverging trend in developed and developing countries with a significant increase in DALYs and deaths in developing countries, and no measurable change in the proportional contribution of DALYs and deaths from stroke in developed countries. CONCLUSION Global stroke burden continues to increase globally. More efficient stroke prevention and management strategies are urgently needed to halt and eventually reverse the stroke pandemic, while universal access to organized stroke services should be a pr…","author":[{"dropping-particle":"","family":"Feigin","given":"Valery L","non-dropping-particle":"","parse-names":false,"suffix":""},{"dropping-particle":"V","family":"Krishnamurthi","given":"Rita","non-dropping-particle":"","parse-names":false,"suffix":""},{"dropping-particle":"","family":"Parmar","given":"Priya","non-dropping-particle":"","parse-names":false,"suffix":""},{"dropping-particle":"","family":"Norrving","given":"Bo","non-dropping-particle":"","parse-names":false,"suffix":""},{"dropping-particle":"","family":"Mensah","given":"George A","non-dropping-particle":"","parse-names":false,"suffix":""},{"dropping-particle":"","family":"Bennett","given":"Derrick A","non-dropping-particle":"","parse-names":false,"suffix":""},{"dropping-particle":"","family":"Barker-Collo","given":"Suzanne","non-dropping-particle":"","parse-names":false,"suffix":""},{"dropping-particle":"","family":"Moran","given":"Andrew E","non-dropping-particle":"","parse-names":false,"suffix":""},{"dropping-particle":"","family":"Sacco","given":"Ralph L","non-dropping-particle":"","parse-names":false,"suffix":""},{"dropping-particle":"","family":"Truelsen","given":"Thomas","non-dropping-particle":"","parse-names":false,"suffix":""},{"dropping-particle":"","family":"Davis","given":"Stephen","non-dropping-particle":"","parse-names":false,"suffix":""},{"dropping-particle":"","family":"Pandian","given":"Jeyaraj Durai","non-dropping-particle":"","parse-names":false,"suffix":""},{"dropping-particle":"","family":"Naghavi","given":"Mohsen","non-dropping-particle":"","parse-names":false,"suffix":""},{"dropping-particle":"","family":"Forouzanfar","given":"Mohammad H","non-dropping-particle":"","parse-names":false,"suffix":""},{"dropping-particle":"","family":"Nguyen","given":"Grant","non-dropping-particle":"","parse-names":false,"suffix":""},{"dropping-particle":"","family":"Johnson","given":"Catherine O","non-dropping-particle":"","parse-names":false,"suffix":""},{"dropping-particle":"","family":"Vos","given":"Theo","non-dropping-particle":"","parse-names":false,"suffix":""},{"dropping-particle":"","family":"Meretoja","given":"Atte","non-dropping-particle":"","parse-names":false,"suffix":""},{"dropping-particle":"","family":"Murray","given":"Christopher J L","non-dropping-particle":"","parse-names":false,"suffix":""},{"dropping-particle":"","family":"Roth","given":"Gregory A","non-dropping-particle":"","parse-names":false,"suffix":""},{"dropping-particle":"","family":"GBD 2013 Writing Group","given":"GBD 2013 Writing Group and GBD 2013 Stroke Panel Experts","non-dropping-particle":"","parse-names":false,"suffix":""},{"dropping-particle":"","family":"GBD 2013 Stroke Panel Experts Group","given":"","non-dropping-particle":"","parse-names":false,"suffix":""}],"container-title":"Neuroepidemiology","id":"ITEM-2","issue":"3","issued":{"date-parts":[["2015"]]},"page":"161-76","publisher":"Karger Publishers","title":"Update on the Global Burden of Ischemic and Hemorrhagic Stroke in 1990-2013: The GBD 2013 Study.","type":"article-journal","volume":"45"},"uris":["http://www.mendeley.com/documents/?uuid=752c3c01-cb19-343b-a04b-0c7fc85a5e1a"]}],"mendeley":{"formattedCitation":"&lt;sup&gt;1,2&lt;/sup&gt;","plainTextFormattedCitation":"1,2","previouslyFormattedCitation":"&lt;sup&gt;1,2&lt;/sup&gt;"},"properties":{"noteIndex":0},"schema":"https://github.com/citation-style-language/schema/raw/master/csl-citation.json"}</w:instrText>
      </w:r>
      <w:r w:rsidR="009134B6" w:rsidRPr="006A1593">
        <w:rPr>
          <w:sz w:val="24"/>
          <w:szCs w:val="24"/>
          <w:lang w:val="en-US"/>
        </w:rPr>
        <w:fldChar w:fldCharType="separate"/>
      </w:r>
      <w:r w:rsidRPr="006A1593">
        <w:rPr>
          <w:noProof/>
          <w:sz w:val="24"/>
          <w:szCs w:val="24"/>
          <w:vertAlign w:val="superscript"/>
          <w:lang w:val="en-US"/>
        </w:rPr>
        <w:t>1,2</w:t>
      </w:r>
      <w:r w:rsidR="009134B6" w:rsidRPr="006A1593">
        <w:rPr>
          <w:sz w:val="24"/>
          <w:szCs w:val="24"/>
          <w:lang w:val="en-US"/>
        </w:rPr>
        <w:fldChar w:fldCharType="end"/>
      </w:r>
      <w:r w:rsidRPr="006A1593">
        <w:rPr>
          <w:sz w:val="24"/>
          <w:szCs w:val="24"/>
          <w:lang w:val="en-US"/>
        </w:rPr>
        <w:t xml:space="preserve"> Unlike acute ischemic stroke, few interventions have been shown conclusively to improve clinical outcome after ICH.</w:t>
      </w:r>
      <w:r w:rsidR="009134B6" w:rsidRPr="006A1593">
        <w:rPr>
          <w:sz w:val="24"/>
          <w:szCs w:val="24"/>
          <w:lang w:val="en-US"/>
        </w:rPr>
        <w:fldChar w:fldCharType="begin" w:fldLock="1"/>
      </w:r>
      <w:r w:rsidR="00072865" w:rsidRPr="006A1593">
        <w:rPr>
          <w:sz w:val="24"/>
          <w:szCs w:val="24"/>
          <w:lang w:val="en-US"/>
        </w:rPr>
        <w:instrText>ADDIN CSL_CITATION {"citationItems":[{"id":"ITEM-1","itemData":{"DOI":"10.1161/STR.0000000000000069","ISSN":"1524-4628","PMID":"26022637","abstract":"PURPOSE: The aim of this guideline is to present current and comprehensive recommendations for the diagnosis and treatment of spontaneous intracerebral hemorrhage.\n\nMETHODS: A formal literature search of PubMed was performed through the end of August 2013. The writing committee met by teleconference to discuss narrative text and recommendations. Recommendations follow the American Heart Association/American Stroke Association methods of classifying the level of certainty of the treatment effect and the class of evidence. Prerelease review of the draft guideline was performed by 6 expert peer reviewers and by the members of the Stroke Council Scientific Oversight Committee and Stroke Council Leadership Committee.\n\nRESULTS: Evidence-based guidelines are presented for the care of patients with acute intracerebral hemorrhage. Topics focused on diagnosis, management of coagulopathy and blood pressure, prevention and control of secondary brain injury and intracranial pressure, the role of surgery, outcome prediction, rehabilitation, secondary prevention, and future considerations. Results of new phase 3 trials were incorporated.\n\nCONCLUSIONS: Intracerebral hemorrhage remains a serious condition for which early aggressive care is warranted. These guidelines provide a framework for goal-directed treatment of the patient with intracerebral hemorrhage.","author":[{"dropping-particle":"","family":"Hemphill","given":"J Claude","non-dropping-particle":"","parse-names":false,"suffix":""},{"dropping-particle":"","family":"Greenberg","given":"Steven M","non-dropping-particle":"","parse-names":false,"suffix":""},{"dropping-particle":"","family":"Anderson","given":"Craig S","non-dropping-particle":"","parse-names":false,"suffix":""},{"dropping-particle":"","family":"Becker","given":"Kyra","non-dropping-particle":"","parse-names":false,"suffix":""},{"dropping-particle":"","family":"Bendok","given":"Bernard R","non-dropping-particle":"","parse-names":false,"suffix":""},{"dropping-particle":"","family":"Cushman","given":"Mary","non-dropping-particle":"","parse-names":false,"suffix":""},{"dropping-particle":"","family":"Fung","given":"Gordon L","non-dropping-particle":"","parse-names":false,"suffix":""},{"dropping-particle":"","family":"Goldstein","given":"Joshua N","non-dropping-particle":"","parse-names":false,"suffix":""},{"dropping-particle":"","family":"Macdonald","given":"R Loch","non-dropping-particle":"","parse-names":false,"suffix":""},{"dropping-particle":"","family":"Mitchell","given":"Pamela H","non-dropping-particle":"","parse-names":false,"suffix":""},{"dropping-particle":"","family":"Scott","given":"Phillip A","non-dropping-particle":"","parse-names":false,"suffix":""},{"dropping-particle":"","family":"Selim","given":"Magdy H","non-dropping-particle":"","parse-names":false,"suffix":""},{"dropping-particle":"","family":"Woo","given":"Daniel","non-dropping-particle":"","parse-names":false,"suffix":""}],"container-title":"Stroke; a journal of cerebral circulation","id":"ITEM-1","issue":"7","issued":{"date-parts":[["2015","5","28"]]},"page":"2032-60","title":"Guidelines for the Management of Spontaneous Intracerebral Hemorrhage: A Guideline for Healthcare Professionals From the American Heart Association/American Stroke Association.","type":"article-journal","volume":"46"},"uris":["http://www.mendeley.com/documents/?uuid=4cc0c107-3421-4746-9a25-cb9d8640eab9"]},{"id":"ITEM-2","itemData":{"DOI":"10.1111/ijs.12309","ISBN":"1747-4949 (Electronic)\r1747-4930 (Linking)","ISSN":"1747-4949","PMID":"25156220","abstract":"BACKGROUND: Intracerebral hemorrhage (ICH) accounted for 9% to 27% of all strokes worldwide in the last decade, with high early case fatality and poor functional outcome. In view of recent randomized controlled trials (RCTs) of the management of ICH, the European Stroke Organisation (ESO) has updated its evidence-based guidelines for the management of ICH.\\n\\nMETHOD: A multidisciplinary writing committee of 24 researchers from 11 European countries identified 20 questions relating to ICH management and created recommendations based on the evidence in RCTs using the Grading of Recommendations Assessment, Development and Evaluation (GRADE) approach.\\n\\nRESULTS: We found moderate- to high-quality evidence to support strong recommendations for managing patients with acute ICH on an acute stroke unit, avoiding hemostatic therapy for acute ICH not associated with antithrombotic drug use, avoiding graduated compression stockings, using intermittent pneumatic compression in immobile patients, and using blood pressure lowering for secondary prevention. We found moderate-quality evidence to support weak recommendations for intensive lowering of systolic blood pressure to &lt;140 mmHg within six-hours of ICH onset, early surgery for patients with a Glasgow Coma Scale score 9-12, and avoidance of corticosteroids.\\n\\nCONCLUSION: These guidelines inform the management of ICH based on evidence for the effects of treatments in RCTs. Outcome after ICH remains poor, prioritizing further RCTs of interventions to improve outcome.","author":[{"dropping-particle":"","family":"Steiner","given":"Thorsten","non-dropping-particle":"","parse-names":false,"suffix":""},{"dropping-particle":"","family":"Al-Shahi Salman","given":"Rustam","non-dropping-particle":"","parse-names":false,"suffix":""},{"dropping-particle":"","family":"Beer","given":"Ronnie","non-dropping-particle":"","parse-names":false,"suffix":""},{"dropping-particle":"","family":"Christensen","given":"Hanne","non-dropping-particle":"","parse-names":false,"suffix":""},{"dropping-particle":"","family":"Cordonnier","given":"Charlotte","non-dropping-particle":"","parse-names":false,"suffix":""},{"dropping-particle":"","family":"Csiba","given":"Laszlo","non-dropping-particle":"","parse-names":false,"suffix":""},{"dropping-particle":"","family":"Forsting","given":"Michael","non-dropping-particle":"","parse-names":false,"suffix":""},{"dropping-particle":"","family":"Harnof","given":"Sagi","non-dropping-particle":"","parse-names":false,"suffix":""},{"dropping-particle":"","family":"Klijn","given":"Catharina J M","non-dropping-particle":"","parse-names":false,"suffix":""},{"dropping-particle":"","family":"Krieger","given":"Derk","non-dropping-particle":"","parse-names":false,"suffix":""},{"dropping-particle":"","family":"Mendelow","given":"a David","non-dropping-particle":"","parse-names":false,"suffix":""},{"dropping-particle":"","family":"Molina","given":"Carlos","non-dropping-particle":"","parse-names":false,"suffix":""},{"dropping-particle":"","family":"Montaner","given":"Joan","non-dropping-particle":"","parse-names":false,"suffix":""},{"dropping-particle":"","family":"Overgaard","given":"Karsten","non-dropping-particle":"","parse-names":false,"suffix":""},{"dropping-particle":"","family":"Petersson","given":"Jesper","non-dropping-particle":"","parse-names":false,"suffix":""},{"dropping-particle":"","family":"Roine","given":"Risto O","non-dropping-particle":"","parse-names":false,"suffix":""},{"dropping-particle":"","family":"Schmutzhard","given":"Erich","non-dropping-particle":"","parse-names":false,"suffix":""},{"dropping-particle":"","family":"Schwerdtfeger","given":"Karsten","non-dropping-particle":"","parse-names":false,"suffix":""},{"dropping-particle":"","family":"Stapf","given":"Christian","non-dropping-particle":"","parse-names":false,"suffix":""},{"dropping-particle":"","family":"Tatlisumak","given":"Turgut","non-dropping-particle":"","parse-names":false,"suffix":""},{"dropping-particle":"","family":"Thomas","given":"Brenda M","non-dropping-particle":"","parse-names":false,"suffix":""},{"dropping-particle":"","family":"Toni","given":"Danilo","non-dropping-particle":"","parse-names":false,"suffix":""},{"dropping-particle":"","family":"Unterberg","given":"Andreas","non-dropping-particle":"","parse-names":false,"suffix":""},{"dropping-particle":"","family":"Wagner","given":"Markus","non-dropping-particle":"","parse-names":false,"suffix":""}],"container-title":"International journal of stroke : official journal of the International Stroke Society","id":"ITEM-2","issue":"October","issued":{"date-parts":[["2014"]]},"page":"840-855","title":"European Stroke Organisation (ESO) guidelines for the management of spontaneous intracerebral hemorrhage.","type":"article-journal","volume":"9"},"uris":["http://www.mendeley.com/documents/?uuid=58709c97-6fa1-405d-997e-48549f471880"]}],"mendeley":{"formattedCitation":"&lt;sup&gt;3,4&lt;/sup&gt;","plainTextFormattedCitation":"3,4","previouslyFormattedCitation":"&lt;sup&gt;3,4&lt;/sup&gt;"},"properties":{"noteIndex":0},"schema":"https://github.com/citation-style-language/schema/raw/master/csl-citation.json"}</w:instrText>
      </w:r>
      <w:r w:rsidR="009134B6" w:rsidRPr="006A1593">
        <w:rPr>
          <w:sz w:val="24"/>
          <w:szCs w:val="24"/>
          <w:lang w:val="en-US"/>
        </w:rPr>
        <w:fldChar w:fldCharType="separate"/>
      </w:r>
      <w:r w:rsidRPr="006A1593">
        <w:rPr>
          <w:noProof/>
          <w:sz w:val="24"/>
          <w:szCs w:val="24"/>
          <w:vertAlign w:val="superscript"/>
          <w:lang w:val="en-US"/>
        </w:rPr>
        <w:t>3,4</w:t>
      </w:r>
      <w:r w:rsidR="009134B6" w:rsidRPr="006A1593">
        <w:rPr>
          <w:sz w:val="24"/>
          <w:szCs w:val="24"/>
          <w:lang w:val="en-US"/>
        </w:rPr>
        <w:fldChar w:fldCharType="end"/>
      </w:r>
      <w:r w:rsidRPr="006A1593">
        <w:rPr>
          <w:sz w:val="24"/>
          <w:szCs w:val="24"/>
          <w:lang w:val="en-US"/>
        </w:rPr>
        <w:t xml:space="preserve"> Amongst therapeutic targets, limiting</w:t>
      </w:r>
      <w:r w:rsidR="00536547" w:rsidRPr="006A1593">
        <w:rPr>
          <w:sz w:val="24"/>
          <w:szCs w:val="24"/>
          <w:lang w:val="en-US"/>
        </w:rPr>
        <w:t xml:space="preserve"> significant</w:t>
      </w:r>
      <w:r w:rsidRPr="006A1593">
        <w:rPr>
          <w:sz w:val="24"/>
          <w:szCs w:val="24"/>
          <w:lang w:val="en-US"/>
        </w:rPr>
        <w:t xml:space="preserve"> hemorrhage expansion</w:t>
      </w:r>
      <w:r w:rsidR="0060278D" w:rsidRPr="006A1593">
        <w:rPr>
          <w:sz w:val="24"/>
          <w:szCs w:val="24"/>
          <w:lang w:val="en-US"/>
        </w:rPr>
        <w:t xml:space="preserve"> (HE)</w:t>
      </w:r>
      <w:r w:rsidRPr="006A1593">
        <w:rPr>
          <w:sz w:val="24"/>
          <w:szCs w:val="24"/>
          <w:lang w:val="en-US"/>
        </w:rPr>
        <w:t xml:space="preserve"> is an appealing goal in ICH acute care.</w:t>
      </w:r>
      <w:r w:rsidR="009134B6" w:rsidRPr="006A1593">
        <w:rPr>
          <w:sz w:val="24"/>
          <w:szCs w:val="24"/>
          <w:lang w:val="en-US"/>
        </w:rPr>
        <w:fldChar w:fldCharType="begin" w:fldLock="1"/>
      </w:r>
      <w:r w:rsidR="00072865" w:rsidRPr="006A1593">
        <w:rPr>
          <w:sz w:val="24"/>
          <w:szCs w:val="24"/>
          <w:lang w:val="en-US"/>
        </w:rPr>
        <w:instrText>ADDIN CSL_CITATION {"citationItems":[{"id":"ITEM-1","itemData":{"DOI":"10.1161/STROKEAHA.109.552919","ISBN":"0039-2499","ISSN":"00392499","PMID":"20044536","abstract":"BACKGROUND AND PURPOSE: Secondary expansion of hematoma after spontaneous intracerebral hemorrhage occurs frequently and early with the potential sequelae of functional deterioration or death. The aim of this topical review is to give a summary of current evidence- and experience-based options to avoid or attenuate hematoma expansion. METHOD: We reviewed the literature of the past 10 years on efforts to restrict spontaneous intracerebral hemorrhage expansion by searching Medline and adding related articles known to us. Based on evidence, current guidelines, and our own clinical practice, we have collected consistent and inconsistent pieces of data. These were differentiated according to surgical versus medical approaches, weighed and discussed with regard to expectable benefit, potential risk, and practicability. Finally, we have outlined promising future approaches. RESULTS: Although consistent evidence on the topic is generally limited, some important studies have provided data on risk factors predicting spontaneous intracerebral hemorrhage expansion implying ways of directing therapy toward these risk factors. Large trials have shed light on 4 major efforts to avoid hematoma expansion: surgical hematoma treatment, reduction of hypertension, reversal of coagulopathies or anticoagulants, and hemostatic therapy. The results were largely disappointing but provide insights for new trials. Future strategies include the combination of surgical and medical treatment and the use of neuroprotectants. CONCLUSIONS: Early restriction of intracerebral hemorrhage is of paramount importance because secondary volume expansion leads to outcome deterioration and death. Although there appear to be few indications for neurosurgical measures, nonsurgical measures such as reduction of hypertension and normalization of altered coagulation seem to be beneficial. However, the routine use of coagulation factors outside of warfarin-associated spontaneous intracerebral hemorrhage cannot generally be recommended at present. The same applies for future approaches such as combined medical-surgical approaches and neuroprotective therapies at this point.","author":[{"dropping-particle":"","family":"Steiner","given":"Thorsten","non-dropping-particle":"","parse-names":false,"suffix":""},{"dropping-particle":"","family":"Bösel","given":"Julian","non-dropping-particle":"","parse-names":false,"suffix":""}],"container-title":"Stroke","id":"ITEM-1","issue":"2","issued":{"date-parts":[["2010"]]},"page":"402-409","title":"Options to restrict hematoma expansion after spontaneous intracerebral hemorrhage","type":"article-journal","volume":"41"},"uris":["http://www.mendeley.com/documents/?uuid=575f299b-3d4d-48d7-b9d6-7bfbc77fcb00"]}],"mendeley":{"formattedCitation":"&lt;sup&gt;5&lt;/sup&gt;","plainTextFormattedCitation":"5","previouslyFormattedCitation":"&lt;sup&gt;5&lt;/sup&gt;"},"properties":{"noteIndex":0},"schema":"https://github.com/citation-style-language/schema/raw/master/csl-citation.json"}</w:instrText>
      </w:r>
      <w:r w:rsidR="009134B6" w:rsidRPr="006A1593">
        <w:rPr>
          <w:sz w:val="24"/>
          <w:szCs w:val="24"/>
          <w:lang w:val="en-US"/>
        </w:rPr>
        <w:fldChar w:fldCharType="separate"/>
      </w:r>
      <w:r w:rsidRPr="006A1593">
        <w:rPr>
          <w:noProof/>
          <w:sz w:val="24"/>
          <w:szCs w:val="24"/>
          <w:vertAlign w:val="superscript"/>
          <w:lang w:val="en-US"/>
        </w:rPr>
        <w:t>5</w:t>
      </w:r>
      <w:r w:rsidR="009134B6" w:rsidRPr="006A1593">
        <w:rPr>
          <w:sz w:val="24"/>
          <w:szCs w:val="24"/>
          <w:lang w:val="en-US"/>
        </w:rPr>
        <w:fldChar w:fldCharType="end"/>
      </w:r>
      <w:r w:rsidRPr="006A1593">
        <w:rPr>
          <w:sz w:val="24"/>
          <w:szCs w:val="24"/>
          <w:lang w:val="en-US"/>
        </w:rPr>
        <w:t xml:space="preserve"> </w:t>
      </w:r>
      <w:r w:rsidR="00350706" w:rsidRPr="006A1593">
        <w:rPr>
          <w:sz w:val="24"/>
          <w:szCs w:val="24"/>
          <w:lang w:val="en-US"/>
        </w:rPr>
        <w:t>S</w:t>
      </w:r>
      <w:r w:rsidRPr="006A1593">
        <w:rPr>
          <w:sz w:val="24"/>
          <w:szCs w:val="24"/>
          <w:lang w:val="en-US"/>
        </w:rPr>
        <w:t>everal lines of evidence converge</w:t>
      </w:r>
      <w:r w:rsidR="009B279E" w:rsidRPr="006A1593">
        <w:rPr>
          <w:sz w:val="24"/>
          <w:szCs w:val="24"/>
          <w:lang w:val="en-US"/>
        </w:rPr>
        <w:t xml:space="preserve"> to suggest</w:t>
      </w:r>
      <w:r w:rsidRPr="006A1593">
        <w:rPr>
          <w:sz w:val="24"/>
          <w:szCs w:val="24"/>
          <w:lang w:val="en-US"/>
        </w:rPr>
        <w:t xml:space="preserve"> that </w:t>
      </w:r>
      <w:r w:rsidR="0060278D" w:rsidRPr="006A1593">
        <w:rPr>
          <w:sz w:val="24"/>
          <w:szCs w:val="24"/>
          <w:lang w:val="en-US"/>
        </w:rPr>
        <w:t>HE</w:t>
      </w:r>
      <w:r w:rsidRPr="006A1593">
        <w:rPr>
          <w:rFonts w:eastAsia="Times New Roman"/>
          <w:sz w:val="24"/>
          <w:szCs w:val="24"/>
          <w:lang w:val="en-US"/>
        </w:rPr>
        <w:t xml:space="preserve"> following admission is a potentially preventabl</w:t>
      </w:r>
      <w:r w:rsidR="00A004D9" w:rsidRPr="006A1593">
        <w:rPr>
          <w:rFonts w:eastAsia="Times New Roman"/>
          <w:sz w:val="24"/>
          <w:szCs w:val="24"/>
          <w:lang w:val="en-US"/>
        </w:rPr>
        <w:t xml:space="preserve">e independent predictor of </w:t>
      </w:r>
      <w:r w:rsidRPr="006A1593">
        <w:rPr>
          <w:rFonts w:eastAsia="Times New Roman"/>
          <w:sz w:val="24"/>
          <w:szCs w:val="24"/>
          <w:lang w:val="en-US"/>
        </w:rPr>
        <w:t>early neurological deterioration and worse long</w:t>
      </w:r>
      <w:r w:rsidR="00247AA7" w:rsidRPr="006A1593">
        <w:rPr>
          <w:rFonts w:eastAsia="Times New Roman"/>
          <w:sz w:val="24"/>
          <w:szCs w:val="24"/>
          <w:lang w:val="en-US"/>
        </w:rPr>
        <w:t>-</w:t>
      </w:r>
      <w:r w:rsidRPr="006A1593">
        <w:rPr>
          <w:rFonts w:eastAsia="Times New Roman"/>
          <w:sz w:val="24"/>
          <w:szCs w:val="24"/>
          <w:lang w:val="en-US"/>
        </w:rPr>
        <w:t>term outcome</w:t>
      </w:r>
      <w:r w:rsidR="00247AA7" w:rsidRPr="006A1593">
        <w:rPr>
          <w:rFonts w:eastAsia="Times New Roman"/>
          <w:sz w:val="24"/>
          <w:szCs w:val="24"/>
          <w:lang w:val="en-US"/>
        </w:rPr>
        <w:t>s</w:t>
      </w:r>
      <w:r w:rsidRPr="006A1593">
        <w:rPr>
          <w:rFonts w:eastAsia="Times New Roman"/>
          <w:sz w:val="24"/>
          <w:szCs w:val="24"/>
          <w:lang w:val="en-US"/>
        </w:rPr>
        <w:t>.</w:t>
      </w:r>
      <w:r w:rsidR="009134B6" w:rsidRPr="006A1593">
        <w:rPr>
          <w:rFonts w:eastAsia="Times New Roman"/>
          <w:sz w:val="24"/>
          <w:szCs w:val="24"/>
        </w:rPr>
        <w:fldChar w:fldCharType="begin" w:fldLock="1"/>
      </w:r>
      <w:r w:rsidR="00A744D0" w:rsidRPr="006A1593">
        <w:rPr>
          <w:rFonts w:eastAsia="Times New Roman"/>
          <w:sz w:val="24"/>
          <w:szCs w:val="24"/>
          <w:lang w:val="en-US"/>
        </w:rPr>
        <w:instrText>ADDIN CSL_CITATION {"citationID":"fXpgKzO5","citationItems":[{"id":"ITEM-1","itemData":{"DOI":"10.1212/WNL.0b013e3182143317","ISSN":"00283878","PMID":"21346218","abstract":"Hematoma expansion (HE) is a surrogate marker in intracerebral hemorrhage (ICH) trials. However, the amount of HE necessary to produce poor outcomes in an individual is unclear; there is no agreement on a clinically meaningful definition of HE. We compared commonly used definitions of HE in their ability to predict poor outcome as defined by various cutpoints on the modified Rankin Scale (mRS).","author":[{"dropping-particle":"","family":"Dowlatshahi","given":"D.","non-dropping-particle":"","parse-names":false,"suffix":""},{"dropping-particle":"","family":"Demchuk","given":"a. M.","non-dropping-particle":"","parse-names":false,"suffix":""},{"dropping-particle":"","family":"Flaherty","given":"M. L.","non-dropping-particle":"","parse-names":false,"suffix":""},{"dropping-particle":"","family":"Ali","given":"M.","non-dropping-particle":"","parse-names":false,"suffix":""},{"dropping-particle":"","family":"Lyden","given":"P. L.","non-dropping-particle":"","parse-names":false,"suffix":""},{"dropping-particle":"","family":"Smith","given":"E. E.","non-dropping-particle":"","parse-names":false,"suffix":""}],"container-title":"Neurology","id":"ITEM-1","issue":"14","issued":{"date-parts":[["2011"]]},"page":"1238-1244","title":"Defining hematoma expansion in intracerebral hemorrhage: Relationship with patient outcomes","type":"article-journal","volume":"76"},"uris":["http://www.mendeley.com/documents/?uuid=c77c2a2d-9c82-48c5-91d8-687769ded906"]},{"id":"ITEM-2","itemData":{"DOI":"10.1016/S1474-4422(12)70038-8","ISBN":"1474-4465 (Electronic)\\r1474-4422 (Linking)","ISSN":"14744422","PMID":"22405630","abstract":"Background: In patients with intracerebral haemorrhage (ICH), early haemorrhage expansion affects clinical outcome. Haemostatic treatment reduces haematoma expansion, but fails to improve clinical outcomes in many patients. Proper selection of patients at high risk for haematoma expansion seems crucial to improve outcomes. In this study, we aimed to prospectively validate the CT-angiography (CTA) spot sign for prediction of haematoma expansion. Methods: PREDICT (predicting haematoma growth and outcome in intracerebral haemorrhage using contrast bolus CT) was a multicentre prospective observational cohort study. We recruited patients aged 18 years or older, with ICH smaller than 100 mL, and presenting at less than 6 h from symptom onset. Using two independent core laboratories, one neuroradiologist determined CTA spot-sign status, whereas another neurologist masked for clinical outcomes and imaging measured haematoma volumes by computerised planimetry. The primary outcome was haematoma expansion defined as absolute growth greater than 6 mL or a relative growth of more than 33% from initial CT to follow-up CT. We reported data using standard descriptive statistics stratified by the CTA spot sign. Mortality was assessed with Kaplan-Meier survival analysis. Findings: We enrolled 268 patients. Median time from symptom onset to baseline CT was 135 min (range 22-470), and time from onset to CTA was 159 min (32-475). 81 (30%) patients were spot-sign positive. The primary analysis included 228 patients, who had a follow-up CT before surgery or death. Median baseline ICH volume was 19·9 mL (1·5-80·9) in spot-sign-positive patients versus 10·0 mL (0·1-102·7) in spot-sign negative patients (p&lt;0·001). Median ICH expansion was 8·6 mL (-9·3 to 121·7) for spot-sign positive patients and 0·4 mL (-11·7 to 98·3) for spot-negative patients (p&lt;0·001). In those with haematoma expansion, the positive predictive value for the spot sign was 73%; the negative predictive value was 84%, sensitivity was 63%, and specificity was 90%. Median 3-month modified Rankin Scale (mRS) was 5 in CTA spot-sign-positive patients, and 3 in spot-sign-negative patients (p&lt;0·001). Mortality at 3 months was 43·4% (23 of 53) in CTA spot-sign positive versus 19·6% (31 of 158) in CTA spot-sign-negative patients (HR 2·4, 95% CI 1·4-4·0, p=0·002). Interpretation: These findings confirm previous single-centre studies showing that the CTA spot sign is a predictor of haematoma expansion. The spot sign is rec…","author":[{"dropping-particle":"","family":"Demchuk","given":"Andrew M.","non-dropping-particle":"","parse-names":false,"suffix":""},{"dropping-particle":"","family":"Dowlatshahi","given":"Dar","non-dropping-particle":"","parse-names":false,"suffix":""},{"dropping-particle":"","family":"Rodriguez-Luna","given":"David","non-dropping-particle":"","parse-names":false,"suffix":""},{"dropping-particle":"","family":"Molina","given":"Carlos a.","non-dropping-particle":"","parse-names":false,"suffix":""},{"dropping-particle":"","family":"Blas","given":"Yolanda Silva","non-dropping-particle":"","parse-names":false,"suffix":""},{"dropping-particle":"","family":"Dzialowski","given":"Imanuel","non-dropping-particle":"","parse-names":false,"suffix":""},{"dropping-particle":"","family":"Kobayashi","given":"Adam","non-dropping-particle":"","parse-names":false,"suffix":""},{"dropping-particle":"","family":"Boulanger","given":"Jean Martin","non-dropping-particle":"","parse-names":false,"suffix":""},{"dropping-particle":"","family":"Lum","given":"Cheemun","non-dropping-particle":"","parse-names":false,"suffix":""},{"dropping-particle":"","family":"Gubitz","given":"Gord","non-dropping-particle":"","parse-names":false,"suffix":""},{"dropping-particle":"","family":"Padma","given":"Vasantha","non-dropping-particle":"","parse-names":false,"suffix":""},{"dropping-particle":"","family":"Roy","given":"Jayanta","non-dropping-particle":"","parse-names":false,"suffix":""},{"dropping-particle":"","family":"Kase","given":"Carlos S.","non-dropping-particle":"","parse-names":false,"suffix":""},{"dropping-particle":"","family":"Kosior","given":"Jayme","non-dropping-particle":"","parse-names":false,"suffix":""},{"dropping-particle":"","family":"Bhatia","given":"Rohit","non-dropping-particle":"","parse-names":false,"suffix":""},{"dropping-particle":"","family":"Tymchuk","given":"Sarah","non-dropping-particle":"","parse-names":false,"suffix":""},{"dropping-particle":"","family":"Subramaniam","given":"Suresh","non-dropping-particle":"","parse-names":false,"suffix":""},{"dropping-particle":"","family":"Gladstone","given":"David J.","non-dropping-particle":"","parse-names":false,"suffix":""},{"dropping-particle":"","family":"Hill","given":"Michael D.","non-dropping-particle":"","parse-names":false,"suffix":""},{"dropping-particle":"","family":"Aviv","given":"Richard I.","non-dropping-particle":"","parse-names":false,"suffix":""}],"container-title":"The Lancet Neurology","id":"ITEM-2","issue":"4","issued":{"date-parts":[["2012"]]},"page":"307-314","publisher":"Elsevier Ltd","title":"Prediction of haematoma growth and outcome in patients with intracerebral haemorrhage using the CT-angiography spot sign (PREDICT): A prospective observational study","type":"article-journal","volume":"11"},"uris":["http://www.mendeley.com/documents/?uuid=86a23cfb-1df0-4b7b-9c9e-62659fbf8520"]}],"mendeley":{"formattedCitation":"&lt;sup&gt;6,7&lt;/sup&gt;","plainTextFormattedCitation":"6,7","previouslyFormattedCitation":"&lt;sup&gt;6,7&lt;/sup&gt;"},"properties":{"formattedCitation":"\\super 2\\nosupersub{}","noteIndex":0,"plainCitation":"2"},"schema":"https://github.com/citation-style-language/schema/raw/master/csl-citation.json"}</w:instrText>
      </w:r>
      <w:r w:rsidR="009134B6" w:rsidRPr="006A1593">
        <w:rPr>
          <w:rFonts w:eastAsia="Times New Roman"/>
          <w:sz w:val="24"/>
          <w:szCs w:val="24"/>
        </w:rPr>
        <w:fldChar w:fldCharType="separate"/>
      </w:r>
      <w:r w:rsidR="00A744D0" w:rsidRPr="006A1593">
        <w:rPr>
          <w:noProof/>
          <w:sz w:val="24"/>
          <w:szCs w:val="24"/>
          <w:vertAlign w:val="superscript"/>
          <w:lang w:val="en-US"/>
        </w:rPr>
        <w:t>6,7</w:t>
      </w:r>
      <w:r w:rsidR="009134B6" w:rsidRPr="006A1593">
        <w:rPr>
          <w:rFonts w:eastAsia="Times New Roman"/>
          <w:sz w:val="24"/>
          <w:szCs w:val="24"/>
        </w:rPr>
        <w:fldChar w:fldCharType="end"/>
      </w:r>
      <w:r w:rsidRPr="006A1593">
        <w:rPr>
          <w:rFonts w:eastAsia="Times New Roman"/>
          <w:sz w:val="24"/>
          <w:szCs w:val="24"/>
          <w:lang w:val="en-US"/>
        </w:rPr>
        <w:t xml:space="preserve"> </w:t>
      </w:r>
      <w:r w:rsidRPr="006A1593">
        <w:rPr>
          <w:sz w:val="24"/>
          <w:szCs w:val="24"/>
          <w:lang w:val="en-US"/>
        </w:rPr>
        <w:t xml:space="preserve">However, </w:t>
      </w:r>
      <w:r w:rsidR="0060278D" w:rsidRPr="006A1593">
        <w:rPr>
          <w:sz w:val="24"/>
          <w:szCs w:val="24"/>
          <w:lang w:val="en-US"/>
        </w:rPr>
        <w:t xml:space="preserve">randomized </w:t>
      </w:r>
      <w:r w:rsidRPr="006A1593">
        <w:rPr>
          <w:sz w:val="24"/>
          <w:szCs w:val="24"/>
          <w:lang w:val="en-US"/>
        </w:rPr>
        <w:t>clinical trials</w:t>
      </w:r>
      <w:r w:rsidR="0060278D" w:rsidRPr="006A1593">
        <w:rPr>
          <w:sz w:val="24"/>
          <w:szCs w:val="24"/>
          <w:lang w:val="en-US"/>
        </w:rPr>
        <w:t xml:space="preserve"> (RCT)</w:t>
      </w:r>
      <w:r w:rsidRPr="006A1593">
        <w:rPr>
          <w:sz w:val="24"/>
          <w:szCs w:val="24"/>
          <w:lang w:val="en-US"/>
        </w:rPr>
        <w:t xml:space="preserve"> usi</w:t>
      </w:r>
      <w:r w:rsidR="00A004D9" w:rsidRPr="006A1593">
        <w:rPr>
          <w:sz w:val="24"/>
          <w:szCs w:val="24"/>
          <w:lang w:val="en-US"/>
        </w:rPr>
        <w:t>ng interventions to reduce</w:t>
      </w:r>
      <w:r w:rsidRPr="006A1593">
        <w:rPr>
          <w:sz w:val="24"/>
          <w:szCs w:val="24"/>
          <w:lang w:val="en-US"/>
        </w:rPr>
        <w:t xml:space="preserve"> </w:t>
      </w:r>
      <w:r w:rsidR="0060278D" w:rsidRPr="006A1593">
        <w:rPr>
          <w:sz w:val="24"/>
          <w:szCs w:val="24"/>
          <w:lang w:val="en-US"/>
        </w:rPr>
        <w:t>HE</w:t>
      </w:r>
      <w:r w:rsidRPr="006A1593">
        <w:rPr>
          <w:sz w:val="24"/>
          <w:szCs w:val="24"/>
          <w:lang w:val="en-US"/>
        </w:rPr>
        <w:t xml:space="preserve"> have not been successful in providing a definitive therapy with significant impact on the extent of bleeding and functional outcome.</w:t>
      </w:r>
      <w:r w:rsidR="009134B6" w:rsidRPr="006A1593">
        <w:rPr>
          <w:sz w:val="24"/>
          <w:szCs w:val="24"/>
        </w:rPr>
        <w:fldChar w:fldCharType="begin" w:fldLock="1"/>
      </w:r>
      <w:r w:rsidR="00A744D0" w:rsidRPr="006A1593">
        <w:rPr>
          <w:sz w:val="24"/>
          <w:szCs w:val="24"/>
          <w:lang w:val="en-US"/>
        </w:rPr>
        <w:instrText>ADDIN CSL_CITATION {"citationID":"4fkmatd6m","citationItems":[{"id":"ITEM-1","itemData":{"DOI":"10.1056/NEJMoa1603460","ISSN":"0028-4793","PMID":"27276234","author":[{"dropping-particle":"","family":"Qureshi","given":"Adnan I.","non-dropping-particle":"","parse-names":false,"suffix":""},{"dropping-particle":"","family":"Palesch","given":"Yuko Y.","non-dropping-particle":"","parse-names":false,"suffix":""},{"dropping-particle":"","family":"Barsan","given":"William G.","non-dropping-particle":"","parse-names":false,"suffix":""},{"dropping-particle":"","family":"Hanley","given":"Daniel F.","non-dropping-particle":"","parse-names":false,"suffix":""},{"dropping-particle":"","family":"Hsu","given":"Chung Y.","non-dropping-particle":"","parse-names":false,"suffix":""},{"dropping-particle":"","family":"Martin","given":"Renee L.","non-dropping-particle":"","parse-names":false,"suffix":""},{"dropping-particle":"","family":"Moy","given":"Claudia S.","non-dropping-particle":"","parse-names":false,"suffix":""},{"dropping-particle":"","family":"Silbergleit","given":"Robert","non-dropping-particle":"","parse-names":false,"suffix":""},{"dropping-particle":"","family":"Steiner","given":"Thorsten","non-dropping-particle":"","parse-names":false,"suffix":""},{"dropping-particle":"","family":"Suarez","given":"Jose I.","non-dropping-particle":"","parse-names":false,"suffix":""},{"dropping-particle":"","family":"Toyoda","given":"Kazunori","non-dropping-particle":"","parse-names":false,"suffix":""},{"dropping-particle":"","family":"Wang","given":"Yongjun","non-dropping-particle":"","parse-names":false,"suffix":""},{"dropping-particle":"","family":"Yamamoto","given":"Haruko","non-dropping-particle":"","parse-names":false,"suffix":""},{"dropping-particle":"","family":"Yoon","given":"Byung-Woo","non-dropping-particle":"","parse-names":false,"suffix":""}],"container-title":"New England Journal of Medicine","id":"ITEM-1","issued":{"date-parts":[["2016"]]},"page":"NEJMoa1603460","title":"Intensive Blood-Pressure Lowering in Patients with Acute Cerebral Hemorrhage","type":"article-journal"},"uris":["http://www.mendeley.com/documents/?uuid=6b50043b-204f-4010-bc52-0c4ba1fdf36a"]},{"id":"ITEM-2","itemData":{"DOI":"10.1056/NEJMoa1214609","ISSN":"0028-4793","abstract":"Acute intracerebral hemorrhage, which is the least treatable form of stroke, affects more than 1 million people worldwide annually,1,2 with the outcome determined by the volume and growth of the underlying hematoma.3–5 Blood pressure often becomes elevated after intracerebral hemorrhage,6 frequently reaching very high levels, and is a predictor of outcome.7–11 On the basis of the results of the pilot-phase study, Intensive Blood Pressure Reduction in Acute Cerebral Hemorrhage Trial 1 (INTERACT1),12–14 we conducted the main-phase study, INTERACT2,15 to determine the safety and effectiveness of early intensive lowering of blood pressure in patients with intracerebral hemorrhage. . . .","author":[{"dropping-particle":"","family":"Anderson","given":"Craig S.","non-dropping-particle":"","parse-names":false,"suffix":""},{"dropping-particle":"","family":"Heeley","given":"Emma","non-dropping-particle":"","parse-names":false,"suffix":""},{"dropping-particle":"","family":"Huang","given":"Yining","non-dropping-particle":"","parse-names":false,"suffix":""},{"dropping-particle":"","family":"Wang","given":"Jiguang","non-dropping-particle":"","parse-names":false,"suffix":""},{"dropping-particle":"","family":"Stapf","given":"Christian","non-dropping-particle":"","parse-names":false,"suffix":""},{"dropping-particle":"","family":"Delcourt","given":"Candice","non-dropping-particle":"","parse-names":false,"suffix":""},{"dropping-particle":"","family":"Lindley","given":"Richard","non-dropping-particle":"","parse-names":false,"suffix":""},{"dropping-particle":"","family":"Robinson","given":"Thompson","non-dropping-particle":"","parse-names":false,"suffix":""},{"dropping-particle":"","family":"Lavados","given":"Pablo","non-dropping-particle":"","parse-names":false,"suffix":""},{"dropping-particle":"","family":"Neal","given":"Bruce","non-dropping-particle":"","parse-names":false,"suffix":""},{"dropping-particle":"","family":"Hata","given":"Jun","non-dropping-particle":"","parse-names":false,"suffix":""},{"dropping-particle":"","family":"Arima","given":"Hisatomi","non-dropping-particle":"","parse-names":false,"suffix":""},{"dropping-particle":"","family":"Parsons","given":"Mark","non-dropping-particle":"","parse-names":false,"suffix":""},{"dropping-particle":"","family":"Li","given":"Yuechun","non-dropping-particle":"","parse-names":false,"suffix":""},{"dropping-particle":"","family":"Wang","given":"Jinchao","non-dropping-particle":"","parse-names":false,"suffix":""},{"dropping-particle":"","family":"Heritier","given":"Stephane","non-dropping-particle":"","parse-names":false,"suffix":""},{"dropping-particle":"","family":"Li","given":"Qiang","non-dropping-particle":"","parse-names":false,"suffix":""},{"dropping-particle":"","family":"Woodward","given":"Mark","non-dropping-particle":"","parse-names":false,"suffix":""},{"dropping-particle":"","family":"Simes","given":"R. John","non-dropping-particle":"","parse-names":false,"suffix":""},{"dropping-particle":"","family":"Davis","given":"Stephen M.","non-dropping-particle":"","parse-names":false,"suffix":""},{"dropping-particle":"","family":"Chalmers","given":"John","non-dropping-particle":"","parse-names":false,"suffix":""}],"container-title":"New England Journal of Medicine","id":"ITEM-2","issue":"25","issued":{"date-parts":[["2013","6"]]},"page":"2355-2365","title":"Rapid Blood-Pressure Lowering in Patients with Acute Intracerebral Hemorrhage","type":"article-journal","volume":"368"},"uri":["http://zotero.org/users/1015911/items/KBKNVNRZ"],"uris":["http://zotero.org/users/1015911/items/KBKNVNRZ","http://www.mendeley.com/documents/?uuid=757c95a8-7d51-4740-9eaa-0ec039860488"]},{"id":"ITEM-3","itemData":{"DOI":"10.1016/S0140-6736(18)31033-X","ISSN":"1474-547X","PMID":"29778325","abstract":"BACKGROUND Tranexamic acid can prevent death due to bleeding after trauma and post-partum haemorrhage. We aimed to assess whether tranexamic acid reduces haematoma expansion and improves outcome in adults with stroke due to intracerebral haemorrhage. METHODS We did an international, randomised placebo-controlled trial in adults with intracerebral haemorrhage from acute stroke units at 124 hospital sites in 12 countries. Participants were randomly assigned (1:1) to receive 1 g intravenous tranexamic acid bolus followed by an 8 h infusion of 1 g tranexamic acid or a matching placebo, within 8 h of symptom onset. Randomisation was done centrally in real time via a secure website, with stratification by country and minimisation on key prognostic factors. Treatment allocation was concealed from patients, outcome assessors, and all other health-care workers involved in the trial. The primary outcome was functional status at day 90, measured by shift in the modified Rankin Scale, using ordinal logistic regression with adjustment for stratification and minimisation criteria. All analyses were done on an intention-to-treat basis. This trial is registered with the ISRCTN registry, number ISRCTN93732214. FINDINGS We recruited 2325 participants between March 1, 2013, and Sept 30, 2017. 1161 patients received tranexamic acid and 1164 received placebo; the treatment groups were well balanced at baseline. The primary outcome was assessed for 2307 (99%) participants. The primary outcome, functional status at day 90, did not differ significantly between the groups (adjusted odds ratio [aOR] 0·88, 95% CI 0·76-1·03, p=0·11). Although there were fewer deaths by day 7 in the tranexamic acid group (101 [9%] deaths in the tranexamic acid group vs 123 [11%] deaths in the placebo group; aOR 0·73, 0·53-0·99, p=0·0406), there was no difference in case fatality at 90 days (250 [22%] vs 249 [21%]; adjusted hazard ratio 0·92, 95% CI 0·77-1·10, p=0·37). Fewer patients had serious adverse events after tranexamic acid than after placebo by days 2 (379 [33%] patients vs 417 [36%] patients), 7 (456 [39%] vs 497 [43%]), and 90 (521 [45%] vs 556 [48%]). INTERPRETATION Functional status 90 days after intracerebral haemorrhage did not differ significantly between patients who received tranexamic acid and those who received placebo, despite a reduction in early deaths and serious adverse events. Larger randomised trials are needed to confirm or refute a clinically significant treatment effect…","author":[{"dropping-particle":"","family":"Sprigg","given":"Nikola","non-dropping-particle":"","parse-names":false,"suffix":""},{"dropping-particle":"","family":"Flaherty","given":"Katie","non-dropping-particle":"","parse-names":false,"suffix":""},{"dropping-particle":"","family":"Appleton","given":"Jason P","non-dropping-particle":"","parse-names":false,"suffix":""},{"dropping-particle":"","family":"Salman","given":"Rustam Al-Shahi","non-dropping-particle":"","parse-names":false,"suffix":""},{"dropping-particle":"","family":"Bereczki","given":"Daniel","non-dropping-particle":"","parse-names":false,"suffix":""},{"dropping-particle":"","family":"Beridze","given":"Maia","non-dropping-particle":"","parse-names":false,"suffix":""},{"dropping-particle":"","family":"Christensen","given":"Hanne","non-dropping-particle":"","parse-names":false,"suffix":""},{"dropping-particle":"","family":"Ciccone","given":"Alfonso","non-dropping-particle":"","parse-names":false,"suffix":""},{"dropping-particle":"","family":"Collins","given":"Ronan","non-dropping-particle":"","parse-names":false,"suffix":""},{"dropping-particle":"","family":"Czlonkowska","given":"Anna","non-dropping-particle":"","parse-names":false,"suffix":""},{"dropping-particle":"","family":"Dineen","given":"Robert A","non-dropping-particle":"","parse-names":false,"suffix":""},{"dropping-particle":"","family":"Duley","given":"Lelia","non-dropping-particle":"","parse-names":false,"suffix":""},{"dropping-particle":"","family":"Egea-Guerrero","given":"Juan Jose","non-dropping-particle":"","parse-names":false,"suffix":""},{"dropping-particle":"","family":"England","given":"Timothy J","non-dropping-particle":"","parse-names":false,"suffix":""},{"dropping-particle":"","family":"Krishnan","given":"Kailash","non-dropping-particle":"","parse-names":false,"suffix":""},{"dropping-particle":"","family":"Laska","given":"Ann Charlotte","non-dropping-particle":"","parse-names":false,"suffix":""},{"dropping-particle":"","family":"Law","given":"Zhe Kang","non-dropping-particle":"","parse-names":false,"suffix":""},{"dropping-particle":"","family":"Ozturk","given":"Serefnur","non-dropping-particle":"","parse-names":false,"suffix":""},{"dropping-particle":"","family":"Pocock","given":"Stuart J","non-dropping-particle":"","parse-names":false,"suffix":""},{"dropping-particle":"","family":"Roberts","given":"Ian","non-dropping-particle":"","parse-names":false,"suffix":""},{"dropping-particle":"","family":"Robinson","given":"Thompson G","non-dropping-particle":"","parse-names":false,"suffix":""},{"dropping-particle":"","family":"Roffe","given":"Christine","non-dropping-particle":"","parse-names":false,"suffix":""},{"dropping-particle":"","family":"Seiffge","given":"David","non-dropping-particle":"","parse-names":false,"suffix":""},{"dropping-particle":"","family":"Scutt","given":"Polly","non-dropping-particle":"","parse-names":false,"suffix":""},{"dropping-particle":"","family":"Thanabalan","given":"Jegan","non-dropping-particle":"","parse-names":false,"suffix":""},{"dropping-particle":"","family":"Werring","given":"David","non-dropping-particle":"","parse-names":false,"suffix":""},{"dropping-particle":"","family":"Whynes","given":"David","non-dropping-particle":"","parse-names":false,"suffix":""},{"dropping-particle":"","family":"Bath","given":"Philip M","non-dropping-particle":"","parse-names":false,"suffix":""},{"dropping-particle":"","family":"TICH-2 Investigators","given":"","non-dropping-particle":"","parse-names":false,"suffix":""}],"container-title":"Lancet (London, England)","id":"ITEM-3","issue":"0","issued":{"date-parts":[["2018","5","15"]]},"publisher":"Elsevier","title":"Tranexamic acid for hyperacute primary IntraCerebral Haemorrhage (TICH-2): an international randomised, placebo-controlled, phase 3 superiority trial.","type":"article-journal","volume":"0"},"uris":["http://www.mendeley.com/documents/?uuid=b8c72487-c238-3bba-ad86-772d77b4229e"]},{"id":"ITEM-4","itemData":{"DOI":"10.1056/NEJMoa0707534","ISSN":"1533-4406","PMID":"18480205","abstract":"BACKGROUND: Intracerebral hemorrhage is the least treatable form of stroke. We performed this phase 3 trial to confirm a previous study in which recombinant activated factor VII (rFVIIa) reduced growth of the hematoma and improved survival and functional outcomes. METHODS: We randomly assigned 841 patients with intracerebral hemorrhage to receive placebo (268 patients), 20 microg of rFVIIa per kilogram of body weight (276 patients), or 80 microg of rFVIIa per kilogram (297 patients) within 4 hours after the onset of stroke. The primary end point was poor outcome, defined as severe disability or death according to the modified Rankin scale 90 days after the stroke. RESULTS: Treatment with 80 microg of rFVIIa per kilogram resulted in a significant reduction in growth in volume of the hemorrhage. The mean estimated increase in volume of the intracerebral hemorrhage at 24 hours was 26% in the placebo group, as compared with 18% in the group receiving 20 microg of rFVIIa per kilogram (P=0.09) and 11% in the group receiving 80 microg (P&lt;0.001). The growth in volume of intracerebral hemorrhage was reduced by 2.6 ml (95% confidence interval [CI], -0.3 to 5.5; P=0.08) in the group receiving 20 microg of rFVIIa per kilogram and by 3.8 ml (95% CI, 0.9 to 6.7; P=0.009) in the group receiving 80 microg, as compared with the placebo group. Despite this reduction in bleeding, there was no significant difference among the three groups in the proportion of patients with poor clinical outcome (24% in the placebo group, 26% in the group receiving 20 microg of rFVIIa per kilogram, and 29% in the group receiving 80 microg). The overall frequency of thromboembolic serious adverse events was similar in the three groups; however, arterial events were more frequent in the group receiving 80 microg of rFVIIa than in the placebo group (9% vs. 4%, P=0.04). CONCLUSIONS: Hemostatic therapy with rFVIIa reduced growth of the hematoma but did not improve survival or functional outcome after intracerebral hemorrhage. (ClinicalTrials.gov number, NCT00127283 [ClinicalTrials.gov].).","author":[{"dropping-particle":"","family":"Mayer","given":"Stephan a","non-dropping-particle":"","parse-names":false,"suffix":""},{"dropping-particle":"","family":"Brun","given":"Nikolai C","non-dropping-particle":"","parse-names":false,"suffix":""},{"dropping-particle":"","family":"Begtrup","given":"Kamilla","non-dropping-particle":"","parse-names":false,"suffix":""},{"dropping-particle":"","family":"Broderick","given":"Joseph","non-dropping-particle":"","parse-names":false,"suffix":""},{"dropping-particle":"","family":"Davis","given":"Stephen","non-dropping-particle":"","parse-names":false,"suffix":""},{"dropping-particle":"","family":"Diringer","given":"Michael N","non-dropping-particle":"","parse-names":false,"suffix":""},{"dropping-particle":"","family":"Skolnick","given":"Brett E","non-dropping-particle":"","parse-names":false,"suffix":""},{"dropping-particle":"","family":"Steiner","given":"Thorsten","non-dropping-particle":"","parse-names":false,"suffix":""}],"container-title":"The New England journal of medicine","id":"ITEM-4","issue":"20","issued":{"date-parts":[["2008"]]},"page":"2127-2137","title":"Efficacy and safety of recombinant activated factor VII for acute intracerebral hemorrhage.","type":"article-journal","volume":"358"},"uris":["http://www.mendeley.com/documents/?uuid=fdb05efc-3fe6-4e73-97e6-2503c5356d3c"]}],"mendeley":{"formattedCitation":"&lt;sup&gt;8–11&lt;/sup&gt;","plainTextFormattedCitation":"8–11","previouslyFormattedCitation":"&lt;sup&gt;8–11&lt;/sup&gt;"},"properties":{"formattedCitation":"\\super 3,4\\nosupersub{}","noteIndex":0,"plainCitation":"3,4"},"schema":"https://github.com/citation-style-language/schema/raw/master/csl-citation.json"}</w:instrText>
      </w:r>
      <w:r w:rsidR="009134B6" w:rsidRPr="006A1593">
        <w:rPr>
          <w:sz w:val="24"/>
          <w:szCs w:val="24"/>
        </w:rPr>
        <w:fldChar w:fldCharType="separate"/>
      </w:r>
      <w:r w:rsidR="00A744D0" w:rsidRPr="006A1593">
        <w:rPr>
          <w:noProof/>
          <w:sz w:val="24"/>
          <w:szCs w:val="24"/>
          <w:vertAlign w:val="superscript"/>
          <w:lang w:val="en-US"/>
        </w:rPr>
        <w:t>8–11</w:t>
      </w:r>
      <w:r w:rsidR="009134B6" w:rsidRPr="006A1593">
        <w:rPr>
          <w:sz w:val="24"/>
          <w:szCs w:val="24"/>
        </w:rPr>
        <w:fldChar w:fldCharType="end"/>
      </w:r>
      <w:r w:rsidRPr="006A1593">
        <w:rPr>
          <w:sz w:val="24"/>
          <w:szCs w:val="24"/>
          <w:lang w:val="en-US"/>
        </w:rPr>
        <w:t xml:space="preserve"> Hitherto, many </w:t>
      </w:r>
      <w:r w:rsidR="0060278D" w:rsidRPr="006A1593">
        <w:rPr>
          <w:sz w:val="24"/>
          <w:szCs w:val="24"/>
          <w:lang w:val="en-US"/>
        </w:rPr>
        <w:t>RCT</w:t>
      </w:r>
      <w:r w:rsidRPr="006A1593">
        <w:rPr>
          <w:sz w:val="24"/>
          <w:szCs w:val="24"/>
          <w:lang w:val="en-US"/>
        </w:rPr>
        <w:t xml:space="preserve"> employed an inclusive, unselected “all-comers” approach, where the intervention was applied regardless </w:t>
      </w:r>
      <w:proofErr w:type="gramStart"/>
      <w:r w:rsidRPr="006A1593">
        <w:rPr>
          <w:sz w:val="24"/>
          <w:szCs w:val="24"/>
          <w:lang w:val="en-US"/>
        </w:rPr>
        <w:t>of</w:t>
      </w:r>
      <w:proofErr w:type="gramEnd"/>
      <w:r w:rsidRPr="006A1593">
        <w:rPr>
          <w:sz w:val="24"/>
          <w:szCs w:val="24"/>
          <w:lang w:val="en-US"/>
        </w:rPr>
        <w:t xml:space="preserve"> </w:t>
      </w:r>
      <w:r w:rsidR="001F4F12" w:rsidRPr="006A1593">
        <w:rPr>
          <w:sz w:val="24"/>
          <w:szCs w:val="24"/>
          <w:lang w:val="en-US"/>
        </w:rPr>
        <w:t>HE</w:t>
      </w:r>
      <w:r w:rsidRPr="006A1593">
        <w:rPr>
          <w:sz w:val="24"/>
          <w:szCs w:val="24"/>
          <w:lang w:val="en-US"/>
        </w:rPr>
        <w:t xml:space="preserve"> risk. </w:t>
      </w:r>
      <w:r w:rsidR="00247AA7" w:rsidRPr="006A1593">
        <w:rPr>
          <w:sz w:val="24"/>
          <w:szCs w:val="24"/>
          <w:lang w:val="en-US"/>
        </w:rPr>
        <w:t>T</w:t>
      </w:r>
      <w:r w:rsidRPr="006A1593">
        <w:rPr>
          <w:sz w:val="24"/>
          <w:szCs w:val="24"/>
          <w:lang w:val="en-US"/>
        </w:rPr>
        <w:t>he overall estimate of treatment effect represented large heterogeneous populations,</w:t>
      </w:r>
      <w:r w:rsidR="009134B6" w:rsidRPr="006A1593">
        <w:rPr>
          <w:sz w:val="24"/>
          <w:szCs w:val="24"/>
          <w:lang w:val="en-US"/>
        </w:rPr>
        <w:fldChar w:fldCharType="begin" w:fldLock="1"/>
      </w:r>
      <w:r w:rsidR="00072865" w:rsidRPr="006A1593">
        <w:rPr>
          <w:sz w:val="24"/>
          <w:szCs w:val="24"/>
          <w:lang w:val="en-US"/>
        </w:rPr>
        <w:instrText>ADDIN CSL_CITATION {"citationItems":[{"id":"ITEM-1","itemData":{"DOI":"10.1161/STROKEAHA.109.552919","ISBN":"0039-2499","ISSN":"00392499","PMID":"20044536","abstract":"BACKGROUND AND PURPOSE: Secondary expansion of hematoma after spontaneous intracerebral hemorrhage occurs frequently and early with the potential sequelae of functional deterioration or death. The aim of this topical review is to give a summary of current evidence- and experience-based options to avoid or attenuate hematoma expansion. METHOD: We reviewed the literature of the past 10 years on efforts to restrict spontaneous intracerebral hemorrhage expansion by searching Medline and adding related articles known to us. Based on evidence, current guidelines, and our own clinical practice, we have collected consistent and inconsistent pieces of data. These were differentiated according to surgical versus medical approaches, weighed and discussed with regard to expectable benefit, potential risk, and practicability. Finally, we have outlined promising future approaches. RESULTS: Although consistent evidence on the topic is generally limited, some important studies have provided data on risk factors predicting spontaneous intracerebral hemorrhage expansion implying ways of directing therapy toward these risk factors. Large trials have shed light on 4 major efforts to avoid hematoma expansion: surgical hematoma treatment, reduction of hypertension, reversal of coagulopathies or anticoagulants, and hemostatic therapy. The results were largely disappointing but provide insights for new trials. Future strategies include the combination of surgical and medical treatment and the use of neuroprotectants. CONCLUSIONS: Early restriction of intracerebral hemorrhage is of paramount importance because secondary volume expansion leads to outcome deterioration and death. Although there appear to be few indications for neurosurgical measures, nonsurgical measures such as reduction of hypertension and normalization of altered coagulation seem to be beneficial. However, the routine use of coagulation factors outside of warfarin-associated spontaneous intracerebral hemorrhage cannot generally be recommended at present. The same applies for future approaches such as combined medical-surgical approaches and neuroprotective therapies at this point.","author":[{"dropping-particle":"","family":"Steiner","given":"Thorsten","non-dropping-particle":"","parse-names":false,"suffix":""},{"dropping-particle":"","family":"Bösel","given":"Julian","non-dropping-particle":"","parse-names":false,"suffix":""}],"container-title":"Stroke","id":"ITEM-1","issue":"2","issued":{"date-parts":[["2010"]]},"page":"402-409","title":"Options to restrict hematoma expansion after spontaneous intracerebral hemorrhage","type":"article-journal","volume":"41"},"uris":["http://www.mendeley.com/documents/?uuid=575f299b-3d4d-48d7-b9d6-7bfbc77fcb00"]}],"mendeley":{"formattedCitation":"&lt;sup&gt;5&lt;/sup&gt;","plainTextFormattedCitation":"5","previouslyFormattedCitation":"&lt;sup&gt;5&lt;/sup&gt;"},"properties":{"noteIndex":0},"schema":"https://github.com/citation-style-language/schema/raw/master/csl-citation.json"}</w:instrText>
      </w:r>
      <w:r w:rsidR="009134B6" w:rsidRPr="006A1593">
        <w:rPr>
          <w:sz w:val="24"/>
          <w:szCs w:val="24"/>
          <w:lang w:val="en-US"/>
        </w:rPr>
        <w:fldChar w:fldCharType="separate"/>
      </w:r>
      <w:r w:rsidRPr="006A1593">
        <w:rPr>
          <w:noProof/>
          <w:sz w:val="24"/>
          <w:szCs w:val="24"/>
          <w:vertAlign w:val="superscript"/>
          <w:lang w:val="en-US"/>
        </w:rPr>
        <w:t>5</w:t>
      </w:r>
      <w:r w:rsidR="009134B6" w:rsidRPr="006A1593">
        <w:rPr>
          <w:sz w:val="24"/>
          <w:szCs w:val="24"/>
          <w:lang w:val="en-US"/>
        </w:rPr>
        <w:fldChar w:fldCharType="end"/>
      </w:r>
      <w:r w:rsidRPr="006A1593">
        <w:rPr>
          <w:sz w:val="24"/>
          <w:szCs w:val="24"/>
          <w:lang w:val="en-US"/>
        </w:rPr>
        <w:t xml:space="preserve"> </w:t>
      </w:r>
      <w:r w:rsidR="00B13AEF" w:rsidRPr="006A1593">
        <w:rPr>
          <w:sz w:val="24"/>
          <w:szCs w:val="24"/>
          <w:lang w:val="en-US"/>
        </w:rPr>
        <w:t>an approach which</w:t>
      </w:r>
      <w:r w:rsidRPr="006A1593">
        <w:rPr>
          <w:sz w:val="24"/>
          <w:szCs w:val="24"/>
          <w:lang w:val="en-US"/>
        </w:rPr>
        <w:t xml:space="preserve"> permits investigation of heterogeneity of treatment effect by baseline predicted risk of </w:t>
      </w:r>
      <w:r w:rsidR="0060278D" w:rsidRPr="006A1593">
        <w:rPr>
          <w:sz w:val="24"/>
          <w:szCs w:val="24"/>
          <w:lang w:val="en-US"/>
        </w:rPr>
        <w:t>HE</w:t>
      </w:r>
      <w:r w:rsidRPr="006A1593">
        <w:rPr>
          <w:sz w:val="24"/>
          <w:szCs w:val="24"/>
          <w:lang w:val="en-US"/>
        </w:rPr>
        <w:t xml:space="preserve"> (e.g. by spot sign presence/absence). This highlights the importance of easy-to-use and widely available prediction models to stratify </w:t>
      </w:r>
      <w:r w:rsidR="00B13AEF" w:rsidRPr="006A1593">
        <w:rPr>
          <w:sz w:val="24"/>
          <w:szCs w:val="24"/>
          <w:lang w:val="en-US"/>
        </w:rPr>
        <w:t>HE</w:t>
      </w:r>
      <w:r w:rsidRPr="006A1593">
        <w:rPr>
          <w:sz w:val="24"/>
          <w:szCs w:val="24"/>
          <w:lang w:val="en-US"/>
        </w:rPr>
        <w:t xml:space="preserve"> risk</w:t>
      </w:r>
      <w:r w:rsidR="00B13AEF" w:rsidRPr="006A1593">
        <w:rPr>
          <w:sz w:val="24"/>
          <w:szCs w:val="24"/>
          <w:lang w:val="en-US"/>
        </w:rPr>
        <w:t xml:space="preserve">, </w:t>
      </w:r>
      <w:r w:rsidRPr="006A1593">
        <w:rPr>
          <w:sz w:val="24"/>
          <w:szCs w:val="24"/>
          <w:lang w:val="en-US"/>
        </w:rPr>
        <w:t>to either target recruitment to selective RCTs, or investigate treatment effect modification.</w:t>
      </w:r>
      <w:r w:rsidR="00AC7FC9" w:rsidRPr="006A1593">
        <w:rPr>
          <w:sz w:val="24"/>
          <w:szCs w:val="24"/>
          <w:lang w:val="en-US"/>
        </w:rPr>
        <w:t xml:space="preserve"> </w:t>
      </w:r>
      <w:r w:rsidRPr="006A1593">
        <w:rPr>
          <w:sz w:val="24"/>
          <w:szCs w:val="24"/>
          <w:lang w:val="en-US"/>
        </w:rPr>
        <w:t xml:space="preserve">The spot sign provides a small improvement in the discrimination of a </w:t>
      </w:r>
      <w:r w:rsidR="0060278D" w:rsidRPr="006A1593">
        <w:rPr>
          <w:sz w:val="24"/>
          <w:szCs w:val="24"/>
          <w:lang w:val="en-US"/>
        </w:rPr>
        <w:t>HE</w:t>
      </w:r>
      <w:r w:rsidRPr="006A1593">
        <w:rPr>
          <w:sz w:val="24"/>
          <w:szCs w:val="24"/>
          <w:lang w:val="en-US"/>
        </w:rPr>
        <w:t xml:space="preserve"> prediction model based on four simple clinical predictors (ICH volume, time since ICH onset, an</w:t>
      </w:r>
      <w:r w:rsidR="000F7A5F" w:rsidRPr="006A1593">
        <w:rPr>
          <w:sz w:val="24"/>
          <w:szCs w:val="24"/>
          <w:lang w:val="en-US"/>
        </w:rPr>
        <w:t>d antiplatelet/anticoagulant use</w:t>
      </w:r>
      <w:r w:rsidRPr="006A1593">
        <w:rPr>
          <w:sz w:val="24"/>
          <w:szCs w:val="24"/>
          <w:lang w:val="en-US"/>
        </w:rPr>
        <w:t>).</w:t>
      </w:r>
      <w:r w:rsidR="009134B6" w:rsidRPr="006A1593">
        <w:rPr>
          <w:sz w:val="24"/>
          <w:szCs w:val="24"/>
          <w:lang w:val="en-US"/>
        </w:rPr>
        <w:fldChar w:fldCharType="begin" w:fldLock="1"/>
      </w:r>
      <w:r w:rsidR="00A744D0" w:rsidRPr="006A1593">
        <w:rPr>
          <w:sz w:val="24"/>
          <w:szCs w:val="24"/>
          <w:lang w:val="en-US"/>
        </w:rPr>
        <w:instrText>ADDIN CSL_CITATION {"citationItems":[{"id":"ITEM-1","itemData":{"DOI":"10.1016/S1474-4422(18)30253-9","ISSN":"14744422","PMID":"30120039","abstract":"BACKGROUND Intracerebral haemorrhage growth is associated with poor clinical outcome and is a therapeutic target for improving outcome. We aimed to determine the absolute risk and predictors of intracerebral haemorrhage growth, develop and validate prediction models, and evaluate the added value of CT angiography. METHODS In a systematic review of OVID MEDLINE-with additional hand-searching of relevant studies' bibliographies- from Jan 1, 1970, to Dec 31, 2015, we identified observational cohorts and randomised trials with repeat scanning protocols that included at least ten patients with acute intracerebral haemorrhage. We sought individual patient-level data from corresponding authors for patients aged 18 years or older with data available from brain imaging initially done 0·5-24 h and repeated fewer than 6 days after symptom onset, who had baseline intracerebral haemorrhage volume of less than 150 mL, and did not undergo acute treatment that might reduce intracerebral haemorrhage volume. We estimated the absolute risk and predictors of the primary outcome of intracerebral haemorrhage growth (defined as &gt;6 mL increase in intracerebral haemorrhage volume on repeat imaging) using multivariable logistic regression models in development and validation cohorts in four subgroups of patients, using a hierarchical approach: patients not taking anticoagulant therapy at intracerebral haemorrhage onset (who constituted the largest subgroup), patients taking anticoagulant therapy at intracerebral haemorrhage onset, patients from cohorts that included at least some patients taking anticoagulant therapy at intracerebral haemorrhage onset, and patients for whom both information about anticoagulant therapy at intracerebral haemorrhage onset and spot sign on acute CT angiography were known. FINDINGS Of 4191 studies identified, 77 were eligible for inclusion. Overall, 36 (47%) cohorts provided data on 5435 eligible patients. 5076 of these patients were not taking anticoagulant therapy at symptom onset (median age 67 years, IQR 56-76), of whom 1009 (20%) had intracerebral haemorrhage growth. Multivariable models of patients with data on antiplatelet therapy use, data on anticoagulant therapy use, and assessment of CT angiography spot sign at symptom onset showed that time from symptom onset to baseline imaging (odds ratio 0·50, 95% CI 0·36-0·70; p&lt;0·0001), intracerebral haemorrhage volume on baseline imaging (7·18, 4·46-11·60; p&lt;0·0001), antiplatelet use (1·68, 1·06-2·6…","author":[{"dropping-particle":"","family":"Al-Shahi Salman","given":"Rustam","non-dropping-particle":"","parse-names":false,"suffix":""},{"dropping-particle":"","family":"Frantzias","given":"Joseph","non-dropping-particle":"","parse-names":false,"suffix":""},{"dropping-particle":"","family":"Lee","given":"Robert J","non-dropping-particle":"","parse-names":false,"suffix":""},{"dropping-particle":"","family":"Lyden","given":"Patrick D","non-dropping-particle":"","parse-names":false,"suffix":""},{"dropping-particle":"","family":"Battey","given":"Thomas W K","non-dropping-particle":"","parse-names":false,"suffix":""},{"dropping-particle":"","family":"Ayres","given":"Alison M","non-dropping-particle":"","parse-names":false,"suffix":""},{"dropping-particle":"","family":"Goldstein","given":"Joshua N","non-dropping-particle":"","parse-names":false,"suffix":""},{"dropping-particle":"","family":"Mayer","given":"Stephan A","non-dropping-particle":"","parse-names":false,"suffix":""},{"dropping-particle":"","family":"Steiner","given":"Thorsten","non-dropping-particle":"","parse-names":false,"suffix":""},{"dropping-particle":"","family":"Wang","given":"Xia","non-dropping-particle":"","parse-names":false,"suffix":""},{"dropping-particle":"","family":"Arima","given":"Hisatomi","non-dropping-particle":"","parse-names":false,"suffix":""},{"dropping-particle":"","family":"Hasegawa","given":"Hitoshi","non-dropping-particle":"","parse-names":false,"suffix":""},{"dropping-particle":"","family":"Oishi","given":"Makoto","non-dropping-particle":"","parse-names":false,"suffix":""},{"dropping-particle":"","family":"Godoy","given":"Daniel A","non-dropping-particle":"","parse-names":false,"suffix":""},{"dropping-particle":"","family":"Masotti","given":"Luca","non-dropping-particle":"","parse-names":false,"suffix":""},{"dropping-particle":"","family":"Dowlatshahi","given":"Dar","non-dropping-particle":"","parse-names":false,"suffix":""},{"dropping-particle":"","family":"Rodriguez-Luna","given":"David","non-dropping-particle":"","parse-names":false,"suffix":""},{"dropping-particle":"","family":"Molina","given":"Carlos A","non-dropping-particle":"","parse-names":false,"suffix":""},{"dropping-particle":"","family":"Jang","given":"Dong-Kyu","non-dropping-particle":"","parse-names":false,"suffix":""},{"dropping-particle":"","family":"Davalos","given":"Antonio","non-dropping-particle":"","parse-names":false,"suffix":""},{"dropping-particle":"","family":"Castillo","given":"José","non-dropping-particle":"","parse-names":false,"suffix":""},{"dropping-particle":"","family":"Yao","given":"Xiaoying","non-dropping-particle":"","parse-names":false,"suffix":""},{"dropping-particle":"","family":"Claassen","given":"Jan","non-dropping-particle":"","parse-names":false,"suffix":""},{"dropping-particle":"","family":"Volbers","given":"Bastian","non-dropping-particle":"","parse-names":false,"suffix":""},{"dropping-particle":"","family":"Kazui","given":"Seiji","non-dropping-particle":"","parse-names":false,"suffix":""},{"dropping-particle":"","family":"Okada","given":"Yasushi","non-dropping-particle":"","parse-names":false,"suffix":""},{"dropping-particle":"","family":"Fujimoto","given":"Shigeru","non-dropping-particle":"","parse-names":false,"suffix":""},{"dropping-particle":"","family":"Toyoda","given":"Kazunori","non-dropping-particle":"","parse-names":false,"suffix":""},{"dropping-particle":"","family":"Li","given":"Qi","non-dropping-particle":"","parse-names":false,"suffix":""},{"dropping-particle":"","family":"Khoury","given":"Jane","non-dropping-particle":"","parse-names":false,"suffix":""},{"dropping-particle":"","family":"Delgado","given":"Pilar","non-dropping-particle":"","parse-names":false,"suffix":""},{"dropping-particle":"","family":"Sabín","given":"José Álvarez","non-dropping-particle":"","parse-names":false,"suffix":""},{"dropping-particle":"","family":"Hernández-Guillamon","given":"Mar","non-dropping-particle":"","parse-names":false,"suffix":""},{"dropping-particle":"","family":"Prats-Sánchez","given":"Luis","non-dropping-particle":"","parse-names":false,"suffix":""},{"dropping-particle":"","family":"Cai","given":"Chunyan","non-dropping-particle":"","parse-names":false,"suffix":""},{"dropping-particle":"","family":"Kate","given":"Mahesh P","non-dropping-particle":"","parse-names":false,"suffix":""},{"dropping-particle":"","family":"McCourt","given":"Rebecca","non-dropping-particle":"","parse-names":false,"suffix":""},{"dropping-particle":"","family":"Venkatasubramanian","given":"Chitra","non-dropping-particle":"","parse-names":false,"suffix":""},{"dropping-particle":"","family":"Diringer","given":"Michael N","non-dropping-particle":"","parse-names":false,"suffix":""},{"dropping-particle":"","family":"Ikeda","given":"Yukio","non-dropping-particle":"","parse-names":false,"suffix":""},{"dropping-particle":"","family":"Worthmann","given":"Hans","non-dropping-particle":"","parse-names":false,"suffix":""},{"dropping-particle":"","family":"Ziai","given":"Wendy C","non-dropping-particle":"","parse-names":false,"suffix":""},{"dropping-particle":"","family":"d'Esterre","given":"Christopher D","non-dropping-particle":"","parse-names":false,"suffix":""},{"dropping-particle":"","family":"Aviv","given":"Richard I","non-dropping-particle":"","parse-names":false,"suffix":""},{"dropping-particle":"","family":"Raab","given":"Peter","non-dropping-particle":"","parse-names":false,"suffix":""},{"dropping-particle":"","family":"Murai","given":"Yasuo","non-dropping-particle":"","parse-names":false,"suffix":""},{"dropping-particle":"","family":"Zazulia","given":"Allyson R","non-dropping-particle":"","parse-names":false,"suffix":""},{"dropping-particle":"","family":"Butcher","given":"Kenneth S","non-dropping-particle":"","parse-names":false,"suffix":""},{"dropping-particle":"","family":"Seyedsaadat","given":"Seyed Mohammad","non-dropping-particle":"","parse-names":false,"suffix":""},{"dropping-particle":"","family":"Grotta","given":"James C","non-dropping-particle":"","parse-names":false,"suffix":""},{"dropping-particle":"","family":"Martí-Fàbregas","given":"Joan","non-dropping-particle":"","parse-names":false,"suffix":""},{"dropping-particle":"","family":"Montaner","given":"Joan","non-dropping-particle":"","parse-names":false,"suffix":""},{"dropping-particle":"","family":"Broderick","given":"Joseph","non-dropping-particle":"","parse-names":false,"suffix":""},{"dropping-particle":"","family":"Yamamoto","given":"Haruko","non-dropping-particle":"","parse-names":false,"suffix":""},{"dropping-particle":"","family":"Staykov","given":"Dimitre","non-dropping-particle":"","parse-names":false,"suffix":""},{"dropping-particle":"","family":"Connolly","given":"E Sander","non-dropping-particle":"","parse-names":false,"suffix":""},{"dropping-particle":"","family":"Selim","given":"Magdy","non-dropping-particle":"","parse-names":false,"suffix":""},{"dropping-particle":"","family":"Leira","given":"Rogelio","non-dropping-particle":"","parse-names":false,"suffix":""},{"dropping-particle":"","family":"Moon","given":"Byung Hoo","non-dropping-particle":"","parse-names":false,"suffix":""},{"dropping-particle":"","family":"Demchuk","given":"Andrew M","non-dropping-particle":"","parse-names":false,"suffix":""},{"dropping-particle":"","family":"Napoli","given":"Mario","non-dropping-particle":"Di","parse-names":false,"suffix":""},{"dropping-particle":"","family":"Fujii","given":"Yukihiko","non-dropping-particle":"","parse-names":false,"suffix":""},{"dropping-particle":"","family":"Anderson","given":"Craig S","non-dropping-particle":"","parse-names":false,"suffix":""},{"dropping-particle":"","family":"Rosand","given":"Jonathan","non-dropping-particle":"","parse-names":false,"suffix":""},{"dropping-particle":"","family":"Hanley","given":"Daniel F","non-dropping-particle":"","parse-names":false,"suffix":""},{"dropping-particle":"","family":"Butcher","given":"Kenneth S","non-dropping-particle":"","parse-names":false,"suffix":""},{"dropping-particle":"","family":"Davis","given":"Stephen","non-dropping-particle":"","parse-names":false,"suffix":""},{"dropping-particle":"","family":"Gregson","given":"Barbara","non-dropping-particle":"","parse-names":false,"suffix":""},{"dropping-particle":"","family":"Lees","given":"Kennedy R","non-dropping-particle":"","parse-names":false,"suffix":""},{"dropping-particle":"","family":"Lyden","given":"Patrick D","non-dropping-particle":"","parse-names":false,"suffix":""},{"dropping-particle":"","family":"Mayer","given":"Stephan A","non-dropping-particle":"","parse-names":false,"suffix":""},{"dropping-particle":"","family":"Muir","given":"Keith W","non-dropping-particle":"","parse-names":false,"suffix":""},{"dropping-particle":"","family":"Steiner","given":"Thorsten","non-dropping-particle":"","parse-names":false,"suffix":""},{"dropping-particle":"","family":"Xie","given":"Peng","non-dropping-particle":"","parse-names":false,"suffix":""},{"dropping-particle":"","family":"Bakhshayesh","given":"Babak","non-dropping-particle":"","parse-names":false,"suffix":""},{"dropping-particle":"","family":"McDonald","given":"Mark","non-dropping-particle":"","parse-names":false,"suffix":""},{"dropping-particle":"","family":"Brott","given":"Thomas","non-dropping-particle":"","parse-names":false,"suffix":""},{"dropping-particle":"","family":"Pennati","given":"Paolo","non-dropping-particle":"","parse-names":false,"suffix":""},{"dropping-particle":"","family":"Parry-Jones","given":"Adrian R","non-dropping-particle":"","parse-names":false,"suffix":""},{"dropping-particle":"","family":"Smith","given":"Craig J","non-dropping-particle":"","parse-names":false,"suffix":""},{"dropping-particle":"","family":"Hopkins","given":"Stephen J","non-dropping-particle":"","parse-names":false,"suffix":""},{"dropping-particle":"","family":"Slevin","given":"Mark","non-dropping-particle":"","parse-names":false,"suffix":""},{"dropping-particle":"","family":"Campi","given":"Veronica","non-dropping-particle":"","parse-names":false,"suffix":""},{"dropping-particle":"","family":"Singh","given":"Puneetpal","non-dropping-particle":"","parse-names":false,"suffix":""},{"dropping-particle":"","family":"Papa","given":"Francesca","non-dropping-particle":"","parse-names":false,"suffix":""},{"dropping-particle":"","family":"Popa-Wagner","given":"Aurel","non-dropping-particle":"","parse-names":false,"suffix":""},{"dropping-particle":"","family":"Tudorica","given":"Valeria","non-dropping-particle":"","parse-names":false,"suffix":""},{"dropping-particle":"","family":"Takagi","given":"Ryo","non-dropping-particle":"","parse-names":false,"suffix":""},{"dropping-particle":"","family":"Teramoto","given":"Akira","non-dropping-particle":"","parse-names":false,"suffix":""},{"dropping-particle":"","family":"Weissenborn","given":"Karin","non-dropping-particle":"","parse-names":false,"suffix":""},{"dropping-particle":"","family":"Lanfermann","given":"Heinrich","non-dropping-particle":"","parse-names":false,"suffix":""}],"container-title":"The Lancet Neurology","id":"ITEM-1","issue":"10","issued":{"date-parts":[["2018","10","14"]]},"page":"885-894","title":"Absolute risk and predictors of the growth of acute spontaneous intracerebral haemorrhage: a systematic review and meta-analysis of individual patient data","type":"article-journal","volume":"17"},"uris":["http://www.mendeley.com/documents/?uuid=07829d4f-e1a6-366d-a1ea-d85bb697211d"]}],"mendeley":{"formattedCitation":"&lt;sup&gt;12&lt;/sup&gt;","plainTextFormattedCitation":"12","previouslyFormattedCitation":"&lt;sup&gt;12&lt;/sup&gt;"},"properties":{"noteIndex":0},"schema":"https://github.com/citation-style-language/schema/raw/master/csl-citation.json"}</w:instrText>
      </w:r>
      <w:r w:rsidR="009134B6" w:rsidRPr="006A1593">
        <w:rPr>
          <w:sz w:val="24"/>
          <w:szCs w:val="24"/>
          <w:lang w:val="en-US"/>
        </w:rPr>
        <w:fldChar w:fldCharType="separate"/>
      </w:r>
      <w:r w:rsidR="00A744D0" w:rsidRPr="006A1593">
        <w:rPr>
          <w:noProof/>
          <w:sz w:val="24"/>
          <w:szCs w:val="24"/>
          <w:vertAlign w:val="superscript"/>
          <w:lang w:val="en-US"/>
        </w:rPr>
        <w:t>12</w:t>
      </w:r>
      <w:r w:rsidR="009134B6" w:rsidRPr="006A1593">
        <w:rPr>
          <w:sz w:val="24"/>
          <w:szCs w:val="24"/>
          <w:lang w:val="en-US"/>
        </w:rPr>
        <w:fldChar w:fldCharType="end"/>
      </w:r>
      <w:r w:rsidR="00E46242" w:rsidRPr="006A1593">
        <w:rPr>
          <w:sz w:val="24"/>
          <w:szCs w:val="24"/>
          <w:lang w:val="en-US"/>
        </w:rPr>
        <w:t>Around</w:t>
      </w:r>
      <w:r w:rsidRPr="006A1593">
        <w:rPr>
          <w:sz w:val="24"/>
          <w:szCs w:val="24"/>
          <w:lang w:val="en-US"/>
        </w:rPr>
        <w:t xml:space="preserve"> 11-25% of ICH patients undergo CT angiography</w:t>
      </w:r>
      <w:r w:rsidR="000F7A5F" w:rsidRPr="006A1593">
        <w:rPr>
          <w:sz w:val="24"/>
          <w:szCs w:val="24"/>
          <w:lang w:val="en-US"/>
        </w:rPr>
        <w:t xml:space="preserve"> (CTA)</w:t>
      </w:r>
      <w:r w:rsidRPr="006A1593">
        <w:rPr>
          <w:sz w:val="24"/>
          <w:szCs w:val="24"/>
          <w:lang w:val="en-US"/>
        </w:rPr>
        <w:t xml:space="preserve"> during the acute phase in a RCT in high income countries,</w:t>
      </w:r>
      <w:r w:rsidR="009134B6" w:rsidRPr="006A1593">
        <w:rPr>
          <w:sz w:val="24"/>
          <w:szCs w:val="24"/>
          <w:lang w:val="en-US"/>
        </w:rPr>
        <w:fldChar w:fldCharType="begin" w:fldLock="1"/>
      </w:r>
      <w:r w:rsidR="00A744D0" w:rsidRPr="006A1593">
        <w:rPr>
          <w:sz w:val="24"/>
          <w:szCs w:val="24"/>
          <w:lang w:val="en-US"/>
        </w:rPr>
        <w:instrText xml:space="preserve">ADDIN CSL_CITATION {"citationItems":[{"id":"ITEM-1","itemData":{"DOI":"10.1001/jamaneurol.2017.1014","ISSN":"2168-6157","PMID":"28628707","abstract":"Importance The computed tomographic angiography (CTA) spot sign is associated with intracerebral hemorrhage (ICH) expansion and may mark those patients most likely to benefit from intensive blood pressure (BP) reduction. Objective To investigate whether the spot sign is associated with ICH expansion across a wide range of centers and whether intensive BP reduction decreases hematoma expansion and improves outcome in patients with ICH and a spot sign. Design, Setting, and Participants SCORE-IT (Spot Sign Score in Restricting ICH Growth) is a preplanned prospective observational study nested in the Antihypertensive Treatment of Acute Cerebral Hemorrhage II (ATACH-II) randomized clinical trial. Participants included consecutive patients with primary ICH who underwent a CTA within 8 hours from onset at 59 sites from May 15, 2011, through December 19, 2015. Data were analyzed for the present study from July 1 to August 31, 2016. Main Outcomes and Measures Patients in ATACH-II were randomized to intensive (systolic BP target, &lt;140 mm Hg) vs standard (systolic BP target, &lt;180 mm Hg) BP reduction within 4.5 hours from onset. Expansion of ICH was defined as hematoma growth of greater than 33%, and an unfavorable outcome was defined as a 90-day modified Rankin Scale score of 4 or greater (range, 0-6). The association among BP reduction, ICH expansion, and outcome was investigated with multivariable logistic regression. Results A total of 133 patients (83 men [62.4%] and 50 women [37.6%]; mean [SD] age, 61.9 [13.1] years) were included. Of these, 53 (39.8%) had a spot sign, and 24 of 123 without missing data (19.5%) experienced ICH expansion. The spot sign was associated with expansion with sensitivity of 0.54 (95% CI, 0.34-0.74) and specificity of 0.63 (95% CI, 0.53-0.72). After adjustment for potential confounders, intensive BP treatment was not associated with a significant reduction of ICH expansion (relative risk, 0.83; 95% CI, 0.27-2.51; P = .74) or improved outcome (relative risk of 90-day modified Rankin Scale score </w:instrText>
      </w:r>
      <w:r w:rsidR="00A744D0" w:rsidRPr="006A1593">
        <w:rPr>
          <w:rFonts w:hint="eastAsia"/>
          <w:sz w:val="24"/>
          <w:szCs w:val="24"/>
          <w:lang w:val="en-US"/>
        </w:rPr>
        <w:instrText>≥</w:instrText>
      </w:r>
      <w:r w:rsidR="00A744D0" w:rsidRPr="006A1593">
        <w:rPr>
          <w:sz w:val="24"/>
          <w:szCs w:val="24"/>
          <w:lang w:val="en-US"/>
        </w:rPr>
        <w:instrText>4, 1.24; 95% CI, 0.53-2.91; P = .62) in spot sign-positive patients. Conclusions and Relevance The predictive performance of the spot sign for ICH expansion was lower than in prior reports from single-center studies. No evidence suggested that patients with ICH and a spot sign specifically benefit from intensive BP reduction. Trial Registration clinicaltrials.gov Identifier: NCT01176565.","author":[{"dropping-particle":"","family":"Morotti","given":"Andrea","non-dropping-particle":"","parse-names":false,"suffix":""},{"dropping-particle":"","family":"Brouwers","given":"H Bart","non-dropping-particle":"","parse-names":false,"suffix":""},{"dropping-particle":"","family":"Romero","given":"Javier M","non-dropping-particle":"","parse-names":false,"suffix":""},{"dropping-particle":"","family":"Jessel","given":"Michael J","non-dropping-particle":"","parse-names":false,"suffix":""},{"dropping-particle":"","family":"Vashkevich","given":"Anastasia","non-dropping-particle":"","parse-names":false,"suffix":""},{"dropping-particle":"","family":"Schwab","given":"Kristin","non-dropping-particle":"","parse-names":false,"suffix":""},{"dropping-particle":"","family":"Afzal","given":"Mohammad Rauf","non-dropping-particle":"","parse-names":false,"suffix":""},{"dropping-particle":"","family":"Cassarly","given":"Christy","non-dropping-particle":"","parse-names":false,"suffix":""},{"dropping-particle":"","family":"Greenberg","given":"Steven M","non-dropping-particle":"","parse-names":false,"suffix":""},{"dropping-particle":"","family":"Martin","given":"Renee Hebert","non-dropping-particle":"","parse-names":false,"suffix":""},{"dropping-particle":"","family":"Qureshi","given":"Adnan I","non-dropping-particle":"","parse-names":false,"suffix":""},{"dropping-particle":"","family":"Rosand","given":"Jonathan","non-dropping-particle":"","parse-names":false,"suffix":""},{"dropping-particle":"","family":"Goldstein","given":"Joshua N","non-dropping-particle":"","parse-names":false,"suffix":""},{"dropping-particle":"","family":"Antihypertensive Treatment of Acute Cerebral Hemorrhage II and Neurological Emergencies Treatment Trials Investigators","given":"","non-dropping-particle":"","parse-names":false,"suffix":""}],"container-title":"JAMA neurology","id":"ITEM-1","issue":"8","issued":{"date-parts":[["2017","8","1"]]},"page":"950-960","title":"Intensive Blood Pressure Reduction and Spot Sign in Intracerebral Hemorrhage: A Secondary Analysis of a Randomized Clinical Trial.","type":"article-journal","volume":"74"},"uris":["http://www.mendeley.com/documents/?uuid=c7544a2d-9b1f-3916-be67-2ee15a7d31e1"]},{"id":"ITEM-2","itemData":{"DOI":"10.1016/S0140-6736(18)31033-X","ISSN":"1474-547X","PMID":"29778325","abstract":"BACKGROUND Tranexamic acid can prevent death due to bleeding after trauma and post-partum haemorrhage. We aimed to assess whether tranexamic acid reduces haematoma expansion and improves outcome in adults with stroke due to intracerebral haemorrhage. METHODS We did an international, randomised placebo-controlled trial in adults with intracerebral haemorrhage from acute stroke units at 124 hospital sites in 12 countries. Participants were randomly assigned (1:1) to receive 1 g intravenous tranexamic acid bolus followed by an 8 h infusion of 1 g tranexamic acid or a matching placebo, within 8 h of symptom onset. Randomisation was done centrally in real time via a secure website, with stratification by country and minimisation on key prognostic factors. Treatment allocation was concealed from patients, outcome assessors, and all other health-care workers involved in the trial. The primary outcome was functional status at day 90, measured by shift in the modified Rankin Scale, using ordinal logistic regression with adjustment for stratification and minimisation criteria. All analyses were done on an intention-to-treat basis. This trial is registered with the ISRCTN registry, number ISRCTN93732214. FINDINGS We recruited 2325 participants between March 1, 2013, and Sept 30, 2017. 1161 patients received tranexamic acid and 1164 received placebo; the treatment groups were well balanced at baseline. The primary outcome was assessed for 2307 (99%) participants. The primary outcome, functional status at day 90, did not differ significantly between the groups (adjusted odds ratio [aOR] 0·88, 95% CI 0·76-1·03, p=0·11). Although there were fewer deaths by day 7 in the tranexamic acid group (101 [9%] deaths in the tranexamic acid group vs 123 [11%] deaths in the placebo group; aOR 0·73, 0·53-0·99, p=0·0406), there was no difference in case fatality at 90 days (250 [22%] vs 249 [21%]; adjusted hazard ratio 0·92, 95% CI 0·77-1·10, p=0·37). Fewer patients had serious adverse events after tranexamic acid than after placebo by days 2 (379 [33%] patients vs 417 [36%] patients), 7 (456 [39%] vs 497 [43%]), and 90 (521 [45%] vs 556 [48%]). INTERPRETATION Functional status 90 days after intracerebral haemorrhage did not differ significantly between patients who received tranexamic acid and those who received placebo, despite a reduction in early deaths and serious adverse events. Larger randomised trials are needed to confirm or refute a clinically significant treatment effect…","author":[{"dropping-particle":"","family":"Sprigg","given":"Nikola","non-dropping-particle":"","parse-names":false,"suffix":""},{"dropping-particle":"","family":"Flaherty","given":"Katie","non-dropping-particle":"","parse-names":false,"suffix":""},{"dropping-particle":"","family":"Appleton","given":"Jason P","non-dropping-particle":"","parse-names":false,"suffix":""},{"dropping-particle":"","family":"Salman","given":"Rustam Al-Shahi","non-dropping-particle":"","parse-names":false,"suffix":""},{"dropping-particle":"","family":"Bereczki","given":"Daniel","non-dropping-particle":"","parse-names":false,"suffix":""},{"dropping-particle":"","family":"Beridze","given":"Maia","non-dropping-particle":"","parse-names":false,"suffix":""},{"dropping-particle":"","family":"Christensen","given":"Hanne","non-dropping-particle":"","parse-names":false,"suffix":""},{"dropping-particle":"","family":"Ciccone","given":"Alfonso","non-dropping-particle":"","parse-names":false,"suffix":""},{"dropping-particle":"","family":"Collins","given":"Ronan","non-dropping-particle":"","parse-names":false,"suffix":""},{"dropping-particle":"","family":"Czlonkowska","given":"Anna","non-dropping-particle":"","parse-names":false,"suffix":""},{"dropping-particle":"","family":"Dineen","given":"Robert A","non-dropping-particle":"","parse-names":false,"suffix":""},{"dropping-particle":"","family":"Duley","given":"Lelia","non-dropping-particle":"","parse-names":false,"suffix":""},{"dropping-particle":"","family":"Egea-Guerrero","given":"Juan Jose","non-dropping-particle":"","parse-names":false,"suffix":""},{"dropping-particle":"","family":"England","given":"Timothy J","non-dropping-particle":"","parse-names":false,"suffix":""},{"dropping-particle":"","family":"Krishnan","given":"Kailash","non-dropping-particle":"","parse-names":false,"suffix":""},{"dropping-particle":"","family":"Laska","given":"Ann Charlotte","non-dropping-particle":"","parse-names":false,"suffix":""},{"dropping-particle":"","family":"Law","given":"Zhe Kang","non-dropping-particle":"","parse-names":false,"suffix":""},{"dropping-particle":"","family":"Ozturk","given":"Serefnur","non-dropping-particle":"","parse-names":false,"suffix":""},{"dropping-particle":"","family":"Pocock","given":"Stuart J","non-dropping-particle":"","parse-names":false,"suffix":""},{"dropping-particle":"","family":"Roberts","given":"Ian","non-dropping-particle":"","parse-names":false,"suffix":""},{"dropping-particle":"","family":"Robinson","given":"Thompson G","non-dropping-particle":"","parse-names":false,"suffix":""},{"dropping-particle":"","family":"Roffe","given":"Christine","non-dropping-particle":"","parse-names":false,"suffix":""},{"dropping-particle":"","family":"Seiffge","given":"David","non-dropping-particle":"","parse-names":false,"suffix":""},{"dropping-particle":"","family":"Scutt","given":"Polly","non-dropping-particle":"","parse-names":false,"suffix":""},{"dropping-particle":"","family":"Thanabalan","given":"Jegan","non-dropping-particle":"","parse-names":false,"suffix":""},{"dropping-particle":"","family":"Werring","given":"David","non-dropping-particle":"","parse-names":false,"suffix":""},{"dropping-particle":"","family":"Whynes","given":"David","non-dropping-particle":"","parse-names":false,"suffix":""},{"dropping-particle":"","family":"Bath","given":"Philip M","non-dropping-particle":"","parse-names":false,"suffix":""},{"dropping-particle":"","family":"TICH-2 Investigators","given":"","non-dropping-particle":"","parse-names":false,"suffix":""}],"container-title":"Lancet (London, England)","id":"ITEM-2","issue":"0","issued":{"date-parts":[["2018","5","15"]]},"publisher":"Elsevier","title":"Tranexamic acid for hyperacute primary IntraCerebral Haemorrhage (TICH-2): an international randomised, placebo-controlled, phase 3 superiority trial.","type":"article-journal","volume":"0"},"uris":["http://www.mendeley.com/documents/?uuid=b8c72487-c238-3bba-ad86-772d77b4229e"]}],"mendeley":{"formattedCitation":"&lt;sup&gt;10,13&lt;/sup&gt;","plainTextFormattedCitation":"10,13","previouslyFormattedCitation":"&lt;sup&gt;10,13&lt;/sup&gt;"},"properties":{"noteIndex":0},"schema":"https://github.com/citation-style-language/schema/raw/master/csl-citation.json"}</w:instrText>
      </w:r>
      <w:r w:rsidR="009134B6" w:rsidRPr="006A1593">
        <w:rPr>
          <w:sz w:val="24"/>
          <w:szCs w:val="24"/>
          <w:lang w:val="en-US"/>
        </w:rPr>
        <w:fldChar w:fldCharType="separate"/>
      </w:r>
      <w:r w:rsidR="00A744D0" w:rsidRPr="006A1593">
        <w:rPr>
          <w:noProof/>
          <w:sz w:val="24"/>
          <w:szCs w:val="24"/>
          <w:vertAlign w:val="superscript"/>
          <w:lang w:val="en-US"/>
        </w:rPr>
        <w:t>10,13</w:t>
      </w:r>
      <w:r w:rsidR="009134B6" w:rsidRPr="006A1593">
        <w:rPr>
          <w:sz w:val="24"/>
          <w:szCs w:val="24"/>
          <w:lang w:val="en-US"/>
        </w:rPr>
        <w:fldChar w:fldCharType="end"/>
      </w:r>
      <w:r w:rsidRPr="006A1593">
        <w:rPr>
          <w:sz w:val="24"/>
          <w:szCs w:val="24"/>
          <w:lang w:val="en-US"/>
        </w:rPr>
        <w:t xml:space="preserve"> but very few if any patients will undergo this test in low-middle income countries. In this context, several non-contrast CT (NCCT) markers may be alternatives to the CT</w:t>
      </w:r>
      <w:r w:rsidR="000F7A5F" w:rsidRPr="006A1593">
        <w:rPr>
          <w:sz w:val="24"/>
          <w:szCs w:val="24"/>
          <w:lang w:val="en-US"/>
        </w:rPr>
        <w:t>A</w:t>
      </w:r>
      <w:r w:rsidRPr="006A1593">
        <w:rPr>
          <w:sz w:val="24"/>
          <w:szCs w:val="24"/>
          <w:lang w:val="en-US"/>
        </w:rPr>
        <w:t xml:space="preserve"> spot sign to add discrimination to simple models for </w:t>
      </w:r>
      <w:r w:rsidR="000D27D8" w:rsidRPr="006A1593">
        <w:rPr>
          <w:sz w:val="24"/>
          <w:szCs w:val="24"/>
          <w:lang w:val="en-US"/>
        </w:rPr>
        <w:t xml:space="preserve">HE </w:t>
      </w:r>
      <w:r w:rsidRPr="006A1593">
        <w:rPr>
          <w:sz w:val="24"/>
          <w:szCs w:val="24"/>
          <w:lang w:val="en-US"/>
        </w:rPr>
        <w:t>prediction.</w:t>
      </w:r>
      <w:r w:rsidR="009134B6" w:rsidRPr="006A1593">
        <w:rPr>
          <w:sz w:val="24"/>
          <w:szCs w:val="24"/>
          <w:lang w:val="en-US"/>
        </w:rPr>
        <w:fldChar w:fldCharType="begin" w:fldLock="1"/>
      </w:r>
      <w:r w:rsidR="00C73B4E" w:rsidRPr="006A1593">
        <w:rPr>
          <w:sz w:val="24"/>
          <w:szCs w:val="24"/>
          <w:lang w:val="en-US"/>
        </w:rPr>
        <w:instrText>ADDIN CSL_CITATION {"citationItems":[{"id":"ITEM-1","itemData":{"DOI":"10.1161/STROKEAHA.116.015062","ISSN":"0039-2499","PMID":"28289239","author":[{"dropping-particle":"","family":"Boulouis","given":"Gregoire","non-dropping-particle":"","parse-names":false,"suffix":""},{"dropping-particle":"","family":"Morotti","given":"Andrea","non-dropping-particle":"","parse-names":false,"suffix":""},{"dropping-particle":"","family":"Charidimou","given":"Andreas","non-dropping-particle":"","parse-names":false,"suffix":""},{"dropping-particle":"","family":"Dowlatshahi","given":"Dar","non-dropping-particle":"","parse-names":false,"suffix":""},{"dropping-particle":"","family":"Goldstein","given":"Joshua N.","non-dropping-particle":"","parse-names":false,"suffix":""}],"container-title":"Stroke","id":"ITEM-1","issue":"4","issued":{"date-parts":[["2017","4"]]},"page":"1120-1125","title":"Noncontrast Computed Tomography Markers of Intracerebral Hemorrhage Expansion","type":"article-journal","volume":"48"},"uris":["http://www.mendeley.com/documents/?uuid=3f7d7b2d-03bf-3b59-bf33-9c577a0f56db"]},{"id":"ITEM-2","itemData":{"DOI":"10.1016/S1474-4422(18)30253-9","ISSN":"14744422","PMID":"30120039","abstract":"BACKGROUND Intracerebral haemorrhage growth is associated with poor clinical outcome and is a therapeutic target for improving outcome. We aimed to determine the absolute risk and predictors of intracerebral haemorrhage growth, develop and validate prediction models, and evaluate the added value of CT angiography. METHODS In a systematic review of OVID MEDLINE-with additional hand-searching of relevant studies' bibliographies- from Jan 1, 1970, to Dec 31, 2015, we identified observational cohorts and randomised trials with repeat scanning protocols that included at least ten patients with acute intracerebral haemorrhage. We sought individual patient-level data from corresponding authors for patients aged 18 years or older with data available from brain imaging initially done 0·5-24 h and repeated fewer than 6 days after symptom onset, who had baseline intracerebral haemorrhage volume of less than 150 mL, and did not undergo acute treatment that might reduce intracerebral haemorrhage volume. We estimated the absolute risk and predictors of the primary outcome of intracerebral haemorrhage growth (defined as &gt;6 mL increase in intracerebral haemorrhage volume on repeat imaging) using multivariable logistic regression models in development and validation cohorts in four subgroups of patients, using a hierarchical approach: patients not taking anticoagulant therapy at intracerebral haemorrhage onset (who constituted the largest subgroup), patients taking anticoagulant therapy at intracerebral haemorrhage onset, patients from cohorts that included at least some patients taking anticoagulant therapy at intracerebral haemorrhage onset, and patients for whom both information about anticoagulant therapy at intracerebral haemorrhage onset and spot sign on acute CT angiography were known. FINDINGS Of 4191 studies identified, 77 were eligible for inclusion. Overall, 36 (47%) cohorts provided data on 5435 eligible patients. 5076 of these patients were not taking anticoagulant therapy at symptom onset (median age 67 years, IQR 56-76), of whom 1009 (20%) had intracerebral haemorrhage growth. Multivariable models of patients with data on antiplatelet therapy use, data on anticoagulant therapy use, and assessment of CT angiography spot sign at symptom onset showed that time from symptom onset to baseline imaging (odds ratio 0·50, 95% CI 0·36-0·70; p&lt;0·0001), intracerebral haemorrhage volume on baseline imaging (7·18, 4·46-11·60; p&lt;0·0001), antiplatelet use (1·68, 1·06-2·6…","author":[{"dropping-particle":"","family":"Al-Shahi Salman","given":"Rustam","non-dropping-particle":"","parse-names":false,"suffix":""},{"dropping-particle":"","family":"Frantzias","given":"Joseph","non-dropping-particle":"","parse-names":false,"suffix":""},{"dropping-particle":"","family":"Lee","given":"Robert J","non-dropping-particle":"","parse-names":false,"suffix":""},{"dropping-particle":"","family":"Lyden","given":"Patrick D","non-dropping-particle":"","parse-names":false,"suffix":""},{"dropping-particle":"","family":"Battey","given":"Thomas W K","non-dropping-particle":"","parse-names":false,"suffix":""},{"dropping-particle":"","family":"Ayres","given":"Alison M","non-dropping-particle":"","parse-names":false,"suffix":""},{"dropping-particle":"","family":"Goldstein","given":"Joshua N","non-dropping-particle":"","parse-names":false,"suffix":""},{"dropping-particle":"","family":"Mayer","given":"Stephan A","non-dropping-particle":"","parse-names":false,"suffix":""},{"dropping-particle":"","family":"Steiner","given":"Thorsten","non-dropping-particle":"","parse-names":false,"suffix":""},{"dropping-particle":"","family":"Wang","given":"Xia","non-dropping-particle":"","parse-names":false,"suffix":""},{"dropping-particle":"","family":"Arima","given":"Hisatomi","non-dropping-particle":"","parse-names":false,"suffix":""},{"dropping-particle":"","family":"Hasegawa","given":"Hitoshi","non-dropping-particle":"","parse-names":false,"suffix":""},{"dropping-particle":"","family":"Oishi","given":"Makoto","non-dropping-particle":"","parse-names":false,"suffix":""},{"dropping-particle":"","family":"Godoy","given":"Daniel A","non-dropping-particle":"","parse-names":false,"suffix":""},{"dropping-particle":"","family":"Masotti","given":"Luca","non-dropping-particle":"","parse-names":false,"suffix":""},{"dropping-particle":"","family":"Dowlatshahi","given":"Dar","non-dropping-particle":"","parse-names":false,"suffix":""},{"dropping-particle":"","family":"Rodriguez-Luna","given":"David","non-dropping-particle":"","parse-names":false,"suffix":""},{"dropping-particle":"","family":"Molina","given":"Carlos A","non-dropping-particle":"","parse-names":false,"suffix":""},{"dropping-particle":"","family":"Jang","given":"Dong-Kyu","non-dropping-particle":"","parse-names":false,"suffix":""},{"dropping-particle":"","family":"Davalos","given":"Antonio","non-dropping-particle":"","parse-names":false,"suffix":""},{"dropping-particle":"","family":"Castillo","given":"José","non-dropping-particle":"","parse-names":false,"suffix":""},{"dropping-particle":"","family":"Yao","given":"Xiaoying","non-dropping-particle":"","parse-names":false,"suffix":""},{"dropping-particle":"","family":"Claassen","given":"Jan","non-dropping-particle":"","parse-names":false,"suffix":""},{"dropping-particle":"","family":"Volbers","given":"Bastian","non-dropping-particle":"","parse-names":false,"suffix":""},{"dropping-particle":"","family":"Kazui","given":"Seiji","non-dropping-particle":"","parse-names":false,"suffix":""},{"dropping-particle":"","family":"Okada","given":"Yasushi","non-dropping-particle":"","parse-names":false,"suffix":""},{"dropping-particle":"","family":"Fujimoto","given":"Shigeru","non-dropping-particle":"","parse-names":false,"suffix":""},{"dropping-particle":"","family":"Toyoda","given":"Kazunori","non-dropping-particle":"","parse-names":false,"suffix":""},{"dropping-particle":"","family":"Li","given":"Qi","non-dropping-particle":"","parse-names":false,"suffix":""},{"dropping-particle":"","family":"Khoury","given":"Jane","non-dropping-particle":"","parse-names":false,"suffix":""},{"dropping-particle":"","family":"Delgado","given":"Pilar","non-dropping-particle":"","parse-names":false,"suffix":""},{"dropping-particle":"","family":"Sabín","given":"José Álvarez","non-dropping-particle":"","parse-names":false,"suffix":""},{"dropping-particle":"","family":"Hernández-Guillamon","given":"Mar","non-dropping-particle":"","parse-names":false,"suffix":""},{"dropping-particle":"","family":"Prats-Sánchez","given":"Luis","non-dropping-particle":"","parse-names":false,"suffix":""},{"dropping-particle":"","family":"Cai","given":"Chunyan","non-dropping-particle":"","parse-names":false,"suffix":""},{"dropping-particle":"","family":"Kate","given":"Mahesh P","non-dropping-particle":"","parse-names":false,"suffix":""},{"dropping-particle":"","family":"McCourt","given":"Rebecca","non-dropping-particle":"","parse-names":false,"suffix":""},{"dropping-particle":"","family":"Venkatasubramanian","given":"Chitra","non-dropping-particle":"","parse-names":false,"suffix":""},{"dropping-particle":"","family":"Diringer","given":"Michael N","non-dropping-particle":"","parse-names":false,"suffix":""},{"dropping-particle":"","family":"Ikeda","given":"Yukio","non-dropping-particle":"","parse-names":false,"suffix":""},{"dropping-particle":"","family":"Worthmann","given":"Hans","non-dropping-particle":"","parse-names":false,"suffix":""},{"dropping-particle":"","family":"Ziai","given":"Wendy C","non-dropping-particle":"","parse-names":false,"suffix":""},{"dropping-particle":"","family":"d'Esterre","given":"Christopher D","non-dropping-particle":"","parse-names":false,"suffix":""},{"dropping-particle":"","family":"Aviv","given":"Richard I","non-dropping-particle":"","parse-names":false,"suffix":""},{"dropping-particle":"","family":"Raab","given":"Peter","non-dropping-particle":"","parse-names":false,"suffix":""},{"dropping-particle":"","family":"Murai","given":"Yasuo","non-dropping-particle":"","parse-names":false,"suffix":""},{"dropping-particle":"","family":"Zazulia","given":"Allyson R","non-dropping-particle":"","parse-names":false,"suffix":""},{"dropping-particle":"","family":"Butcher","given":"Kenneth S","non-dropping-particle":"","parse-names":false,"suffix":""},{"dropping-particle":"","family":"Seyedsaadat","given":"Seyed Mohammad","non-dropping-particle":"","parse-names":false,"suffix":""},{"dropping-particle":"","family":"Grotta","given":"James C","non-dropping-particle":"","parse-names":false,"suffix":""},{"dropping-particle":"","family":"Martí-Fàbregas","given":"Joan","non-dropping-particle":"","parse-names":false,"suffix":""},{"dropping-particle":"","family":"Montaner","given":"Joan","non-dropping-particle":"","parse-names":false,"suffix":""},{"dropping-particle":"","family":"Broderick","given":"Joseph","non-dropping-particle":"","parse-names":false,"suffix":""},{"dropping-particle":"","family":"Yamamoto","given":"Haruko","non-dropping-particle":"","parse-names":false,"suffix":""},{"dropping-particle":"","family":"Staykov","given":"Dimitre","non-dropping-particle":"","parse-names":false,"suffix":""},{"dropping-particle":"","family":"Connolly","given":"E Sander","non-dropping-particle":"","parse-names":false,"suffix":""},{"dropping-particle":"","family":"Selim","given":"Magdy","non-dropping-particle":"","parse-names":false,"suffix":""},{"dropping-particle":"","family":"Leira","given":"Rogelio","non-dropping-particle":"","parse-names":false,"suffix":""},{"dropping-particle":"","family":"Moon","given":"Byung Hoo","non-dropping-particle":"","parse-names":false,"suffix":""},{"dropping-particle":"","family":"Demchuk","given":"Andrew M","non-dropping-particle":"","parse-names":false,"suffix":""},{"dropping-particle":"","family":"Napoli","given":"Mario","non-dropping-particle":"Di","parse-names":false,"suffix":""},{"dropping-particle":"","family":"Fujii","given":"Yukihiko","non-dropping-particle":"","parse-names":false,"suffix":""},{"dropping-particle":"","family":"Anderson","given":"Craig S","non-dropping-particle":"","parse-names":false,"suffix":""},{"dropping-particle":"","family":"Rosand","given":"Jonathan","non-dropping-particle":"","parse-names":false,"suffix":""},{"dropping-particle":"","family":"Hanley","given":"Daniel F","non-dropping-particle":"","parse-names":false,"suffix":""},{"dropping-particle":"","family":"Butcher","given":"Kenneth S","non-dropping-particle":"","parse-names":false,"suffix":""},{"dropping-particle":"","family":"Davis","given":"Stephen","non-dropping-particle":"","parse-names":false,"suffix":""},{"dropping-particle":"","family":"Gregson","given":"Barbara","non-dropping-particle":"","parse-names":false,"suffix":""},{"dropping-particle":"","family":"Lees","given":"Kennedy R","non-dropping-particle":"","parse-names":false,"suffix":""},{"dropping-particle":"","family":"Lyden","given":"Patrick D","non-dropping-particle":"","parse-names":false,"suffix":""},{"dropping-particle":"","family":"Mayer","given":"Stephan A","non-dropping-particle":"","parse-names":false,"suffix":""},{"dropping-particle":"","family":"Muir","given":"Keith W","non-dropping-particle":"","parse-names":false,"suffix":""},{"dropping-particle":"","family":"Steiner","given":"Thorsten","non-dropping-particle":"","parse-names":false,"suffix":""},{"dropping-particle":"","family":"Xie","given":"Peng","non-dropping-particle":"","parse-names":false,"suffix":""},{"dropping-particle":"","family":"Bakhshayesh","given":"Babak","non-dropping-particle":"","parse-names":false,"suffix":""},{"dropping-particle":"","family":"McDonald","given":"Mark","non-dropping-particle":"","parse-names":false,"suffix":""},{"dropping-particle":"","family":"Brott","given":"Thomas","non-dropping-particle":"","parse-names":false,"suffix":""},{"dropping-particle":"","family":"Pennati","given":"Paolo","non-dropping-particle":"","parse-names":false,"suffix":""},{"dropping-particle":"","family":"Parry-Jones","given":"Adrian R","non-dropping-particle":"","parse-names":false,"suffix":""},{"dropping-particle":"","family":"Smith","given":"Craig J","non-dropping-particle":"","parse-names":false,"suffix":""},{"dropping-particle":"","family":"Hopkins","given":"Stephen J","non-dropping-particle":"","parse-names":false,"suffix":""},{"dropping-particle":"","family":"Slevin","given":"Mark","non-dropping-particle":"","parse-names":false,"suffix":""},{"dropping-particle":"","family":"Campi","given":"Veronica","non-dropping-particle":"","parse-names":false,"suffix":""},{"dropping-particle":"","family":"Singh","given":"Puneetpal","non-dropping-particle":"","parse-names":false,"suffix":""},{"dropping-particle":"","family":"Papa","given":"Francesca","non-dropping-particle":"","parse-names":false,"suffix":""},{"dropping-particle":"","family":"Popa-Wagner","given":"Aurel","non-dropping-particle":"","parse-names":false,"suffix":""},{"dropping-particle":"","family":"Tudorica","given":"Valeria","non-dropping-particle":"","parse-names":false,"suffix":""},{"dropping-particle":"","family":"Takagi","given":"Ryo","non-dropping-particle":"","parse-names":false,"suffix":""},{"dropping-particle":"","family":"Teramoto","given":"Akira","non-dropping-particle":"","parse-names":false,"suffix":""},{"dropping-particle":"","family":"Weissenborn","given":"Karin","non-dropping-particle":"","parse-names":false,"suffix":""},{"dropping-particle":"","family":"Lanfermann","given":"Heinrich","non-dropping-particle":"","parse-names":false,"suffix":""}],"container-title":"The Lancet Neurology","id":"ITEM-2","issue":"10","issued":{"date-parts":[["2018","10","14"]]},"page":"885-894","title":"Absolute risk and predictors of the growth of acute spontaneous intracerebral haemorrhage: a systematic review and meta-analysis of individual patient data","type":"article-journal","volume":"17"},"uris":["http://www.mendeley.com/documents/?uuid=07829d4f-e1a6-366d-a1ea-d85bb697211d"]}],"mendeley":{"formattedCitation":"&lt;sup&gt;12,14&lt;/sup&gt;","plainTextFormattedCitation":"12,14","previouslyFormattedCitation":"&lt;sup&gt;12,14&lt;/sup&gt;"},"properties":{"noteIndex":0},"schema":"https://github.com/citation-style-language/schema/raw/master/csl-citation.json"}</w:instrText>
      </w:r>
      <w:r w:rsidR="009134B6" w:rsidRPr="006A1593">
        <w:rPr>
          <w:sz w:val="24"/>
          <w:szCs w:val="24"/>
          <w:lang w:val="en-US"/>
        </w:rPr>
        <w:fldChar w:fldCharType="separate"/>
      </w:r>
      <w:r w:rsidR="00C73B4E" w:rsidRPr="006A1593">
        <w:rPr>
          <w:noProof/>
          <w:sz w:val="24"/>
          <w:szCs w:val="24"/>
          <w:vertAlign w:val="superscript"/>
          <w:lang w:val="en-US"/>
        </w:rPr>
        <w:t>12,14</w:t>
      </w:r>
      <w:r w:rsidR="009134B6" w:rsidRPr="006A1593">
        <w:rPr>
          <w:sz w:val="24"/>
          <w:szCs w:val="24"/>
          <w:lang w:val="en-US"/>
        </w:rPr>
        <w:fldChar w:fldCharType="end"/>
      </w:r>
      <w:r w:rsidRPr="006A1593">
        <w:rPr>
          <w:sz w:val="24"/>
          <w:szCs w:val="24"/>
          <w:lang w:val="en-US"/>
        </w:rPr>
        <w:t xml:space="preserve"> While many NCCT aspects of acute ICH have been shown to be associated with </w:t>
      </w:r>
      <w:r w:rsidR="0060278D" w:rsidRPr="006A1593">
        <w:rPr>
          <w:sz w:val="24"/>
          <w:szCs w:val="24"/>
          <w:lang w:val="en-US"/>
        </w:rPr>
        <w:t>HE</w:t>
      </w:r>
      <w:r w:rsidRPr="006A1593">
        <w:rPr>
          <w:sz w:val="24"/>
          <w:szCs w:val="24"/>
          <w:lang w:val="en-US"/>
        </w:rPr>
        <w:t xml:space="preserve"> and poor outcome, the</w:t>
      </w:r>
      <w:r w:rsidR="00E46242" w:rsidRPr="006A1593">
        <w:rPr>
          <w:sz w:val="24"/>
          <w:szCs w:val="24"/>
          <w:lang w:val="en-US"/>
        </w:rPr>
        <w:t>re is no</w:t>
      </w:r>
      <w:r w:rsidRPr="006A1593">
        <w:rPr>
          <w:sz w:val="24"/>
          <w:szCs w:val="24"/>
          <w:lang w:val="en-US"/>
        </w:rPr>
        <w:t xml:space="preserve"> consensus on the </w:t>
      </w:r>
      <w:r w:rsidR="00E46242" w:rsidRPr="006A1593">
        <w:rPr>
          <w:sz w:val="24"/>
          <w:szCs w:val="24"/>
          <w:lang w:val="en-US"/>
        </w:rPr>
        <w:t xml:space="preserve">methodology and </w:t>
      </w:r>
      <w:r w:rsidRPr="006A1593">
        <w:rPr>
          <w:sz w:val="24"/>
          <w:szCs w:val="24"/>
          <w:lang w:val="en-US"/>
        </w:rPr>
        <w:t>diagnostic criteria to identify these markers</w:t>
      </w:r>
      <w:r w:rsidR="000D27D8" w:rsidRPr="006A1593">
        <w:rPr>
          <w:sz w:val="24"/>
          <w:szCs w:val="24"/>
          <w:lang w:val="en-US"/>
        </w:rPr>
        <w:t>, representing a major gap in the field</w:t>
      </w:r>
      <w:r w:rsidR="00E46242" w:rsidRPr="006A1593">
        <w:rPr>
          <w:sz w:val="24"/>
          <w:szCs w:val="24"/>
          <w:lang w:val="en-US"/>
        </w:rPr>
        <w:t>.</w:t>
      </w:r>
      <w:r w:rsidRPr="006A1593">
        <w:rPr>
          <w:sz w:val="24"/>
          <w:szCs w:val="24"/>
          <w:lang w:val="en-US"/>
        </w:rPr>
        <w:t xml:space="preserve"> </w:t>
      </w:r>
      <w:r w:rsidR="00E46242" w:rsidRPr="006A1593">
        <w:rPr>
          <w:sz w:val="24"/>
          <w:szCs w:val="24"/>
          <w:lang w:val="en-US"/>
        </w:rPr>
        <w:t>Furthermore, most of the currently available prediction models incorporating NCCT markers have</w:t>
      </w:r>
      <w:r w:rsidR="000F7A5F" w:rsidRPr="006A1593">
        <w:rPr>
          <w:sz w:val="24"/>
          <w:szCs w:val="24"/>
          <w:lang w:val="en-US"/>
        </w:rPr>
        <w:t xml:space="preserve"> not</w:t>
      </w:r>
      <w:r w:rsidR="00E46242" w:rsidRPr="006A1593">
        <w:rPr>
          <w:sz w:val="24"/>
          <w:szCs w:val="24"/>
          <w:lang w:val="en-US"/>
        </w:rPr>
        <w:t xml:space="preserve"> been externally validated, making it difficult to appreciate the incremental diagnostic value of every new sign.</w:t>
      </w:r>
      <w:r w:rsidR="009134B6" w:rsidRPr="006A1593">
        <w:rPr>
          <w:sz w:val="24"/>
          <w:szCs w:val="24"/>
          <w:lang w:val="en-US"/>
        </w:rPr>
        <w:fldChar w:fldCharType="begin" w:fldLock="1"/>
      </w:r>
      <w:r w:rsidR="00C73B4E" w:rsidRPr="006A1593">
        <w:rPr>
          <w:sz w:val="24"/>
          <w:szCs w:val="24"/>
          <w:lang w:val="en-US"/>
        </w:rPr>
        <w:instrText xml:space="preserve">ADDIN CSL_CITATION {"citationItems":[{"id":"ITEM-1","itemData":{"DOI":"10.1161/STROKEAHA.117.020138","ISSN":"0039-2499","PMID":"29669875","abstract":"BACKGROUND AND PURPOSE Although the computed tomographic angiography spot sign performs well as a biomarker for hematoma expansion (HE), computed tomographic angiography is not routinely performed in the emergency setting. We developed and validated a score to predict HE-based on noncontrast computed tomography (NCCT) findings in spontaneous acute intracerebral hemorrhage. METHODS After developing the score in a single-center cohort of patients with intracerebral hemorrhage (n=344), we validated it in a large clinical trial population (n=954) and in a multicenter intracerebral hemorrhage cohort (n=241). The following NCCT markers of HE were analyzed: hypodensities, blend sign, hematoma shape and density, and fluid level. HE was defined as hematoma growth &gt;6 mL or &gt;33%. The score was created using the estimates from multivariable logistic regression after final predictors were selected from bootstrap samples. RESULTS Presence of blend sign (odds ratio, 3.09; 95% confidence interval [CI],1.49-6.40; P=0.002), any intrahematoma hypodensity (odds ratio, 4.54; 95% CI, 2.44-8.43; P&lt;0.0001), and time from onset to NCCT &lt;2.5 hours (odds ratio, 3.73; 95% CI, 1.86-7.51; P=0.0002) were predictors of HE. A 5-point score was created (BAT score: 1 point for blend sign, 2 points for any hypodensity, and 2 points for timing of NCCT &lt;2.5 hours). The c statistic was 0.77 (95% </w:instrText>
      </w:r>
      <w:r w:rsidR="00C73B4E" w:rsidRPr="006A1593">
        <w:rPr>
          <w:rFonts w:hint="eastAsia"/>
          <w:sz w:val="24"/>
          <w:szCs w:val="24"/>
          <w:lang w:val="en-US"/>
        </w:rPr>
        <w:instrText xml:space="preserve">CI, 0.70-0.83) in the development population, 0.65 (95% CI 0.61-0.68) and 0.70 (95% CI, 0.64-0.77) in the 2 validation cohorts. A dichotomized score (BAT score </w:instrText>
      </w:r>
      <w:r w:rsidR="00C73B4E" w:rsidRPr="006A1593">
        <w:rPr>
          <w:rFonts w:hint="eastAsia"/>
          <w:sz w:val="24"/>
          <w:szCs w:val="24"/>
          <w:lang w:val="en-US"/>
        </w:rPr>
        <w:instrText>≥</w:instrText>
      </w:r>
      <w:r w:rsidR="00C73B4E" w:rsidRPr="006A1593">
        <w:rPr>
          <w:rFonts w:hint="eastAsia"/>
          <w:sz w:val="24"/>
          <w:szCs w:val="24"/>
          <w:lang w:val="en-US"/>
        </w:rPr>
        <w:instrText>3) predicted HE with 0.50 sensitivity and 0.89 specificity. CONCLUSIONS An easy to use 5-point</w:instrText>
      </w:r>
      <w:r w:rsidR="00C73B4E" w:rsidRPr="006A1593">
        <w:rPr>
          <w:sz w:val="24"/>
          <w:szCs w:val="24"/>
          <w:lang w:val="en-US"/>
        </w:rPr>
        <w:instrText xml:space="preserve"> prediction score can identify subjects at high risk of HE with good specificity and accuracy. This tool requires just a baseline NCCT scan and may help select patients with intracerebral hemorrhage for antiexpansion clinical trials.","author":[{"dropping-particle":"","family":"Morotti","given":"Andrea","non-dropping-particle":"","parse-names":false,"suffix":""},{"dropping-particle":"","family":"Dowlatshahi","given":"Dar","non-dropping-particle":"","parse-names":false,"suffix":""},{"dropping-particle":"","family":"Boulouis","given":"Gregoire","non-dropping-particle":"","parse-names":false,"suffix":""},{"dropping-particle":"","family":"Al-Ajlan","given":"Fahad","non-dropping-particle":"","parse-names":false,"suffix":""},{"dropping-particle":"","family":"Demchuk","given":"Andrew M.","non-dropping-particle":"","parse-names":false,"suffix":""},{"dropping-particle":"","family":"Aviv","given":"Richard I.","non-dropping-particle":"","parse-names":false,"suffix":""},{"dropping-particle":"","family":"Yu","given":"Liyang","non-dropping-particle":"","parse-names":false,"suffix":""},{"dropping-particle":"","family":"Schwab","given":"Kristin","non-dropping-particle":"","parse-names":false,"suffix":""},{"dropping-particle":"","family":"Romero","given":"Javier M.","non-dropping-particle":"","parse-names":false,"suffix":""},{"dropping-particle":"","family":"Gurol","given":"M. Edip","non-dropping-particle":"","parse-names":false,"suffix":""},{"dropping-particle":"","family":"Viswanathan","given":"Anand","non-dropping-particle":"","parse-names":false,"suffix":""},{"dropping-particle":"","family":"Anderson","given":"Christopher D.","non-dropping-particle":"","parse-names":false,"suffix":""},{"dropping-particle":"","family":"Chang","given":"Yuchiao","non-dropping-particle":"","parse-names":false,"suffix":""},{"dropping-particle":"","family":"Greenberg","given":"Steven M.","non-dropping-particle":"","parse-names":false,"suffix":""},{"dropping-particle":"","family":"Qureshi","given":"Adnan I.","non-dropping-particle":"","parse-names":false,"suffix":""},{"dropping-particle":"","family":"Rosand","given":"Jonathan","non-dropping-particle":"","parse-names":false,"suffix":""},{"dropping-particle":"","family":"Goldstein","given":"Joshua N.","non-dropping-particle":"","parse-names":false,"suffix":""}],"container-title":"Stroke","id":"ITEM-1","issue":"5","issued":{"date-parts":[["2018"]]},"page":"1163-1169","title":"Predicting Intracerebral Hemorrhage Expansion With Noncontrast Computed Tomography","type":"article-journal","volume":"49"},"uris":["http://www.mendeley.com/documents/?uuid=96234eb2-9d4d-491c-b22f-0c023c5374b9"]},{"id":"ITEM-2","itemData":{"DOI":"10.1007/s12028-015-0147-4","ISBN":"1202801501","ISSN":"1556-0961 (Electronic)","PMID":"25963292","abstract":"BACKGROUND: Identification of intracerebral hemorrhage (ICH) patients at risk of  substantial hematoma expansion (SHE) could facilitate the selection of candidates likely to benefit from therapies aiming to minimize ICH growth. We aimed to develop a grading tool that can be quickly used during the hyperacute phase to predict the risk of SHE. METHODS: We reviewed data from 237 spontaneous ICH patients who had baseline head CT scan within 12 h of symptom onset and follow-up CT during the following 72 h. We performed logistic regression analyses to determine the predictors of SHE (defined as an absolute increase in ICH volume &gt;6 ml or an increase &gt;33 % on follow-up CT). We identified 6 predictors; each was assigned a point in the graphic interface of a nomogram which was used to construct a scoring system-The Hematoma Expansion Prediction (HEP) Score, varying from 0 to 18 points. We evaluated the ability of the model to predict the probability of SHE using c-statistics. RESULTS: SHE occurred in 74 patients (31.2 %). The final model to predict SHE included 6 variables: time from onset to baseline CT (&lt;3 vs. 3-12 h), history of dementia, current smoking, antiplatelet use, Glasgow Comma Scale score, and the presence of subarachnoid hemorrhage on baseline scan. The model had satisfactory discrimination ability with a bootstrap corrected c-index of 0.76 (95 % CI 0.69-0.83) and good calibration. Patients with a total HEP score &gt;3 were at greatest risk for SHE. CONCLUSIONS: We developed and internally validated a novel nomogram and an easy to use score which accurately predict the probability of SHE based on six easily obtainable parameters. This could be useful for treatment decision and stratification. External prospective validation of the HEP score is warranted before its application to other populations.","author":[{"dropping-particle":"","family":"Yao","given":"Xiaoying","non-dropping-particle":"","parse-names":false,"suffix":""},{"dropping-particle":"","family":"Xu","given":"Ye","non-dropping-particle":"","parse-names":false,"suffix":""},{"dropping-particle":"","family":"Siwila-Sackman","given":"Erica","non-dropping-particle":"","parse-names":false,"suffix":""},{"dropping-particle":"","family":"Wu","given":"Bo","non-dropping-particle":"","parse-names":false,"suffix":""},{"dropping-particle":"","family":"Selim","given":"Magdy","non-dropping-particle":"","parse-names":false,"suffix":""}],"container-title":"Neurocritical care","id":"ITEM-2","issued":{"date-parts":[["2015"]]},"page":"179-187","title":"The HEP Score: A Nomogram-Derived Hematoma Expansion Prediction Scale.","type":"article-journal"},"uris":["http://www.mendeley.com/documents/?uuid=fb1defc8-fcc0-448d-9a03-62d4d505a3f2"]}],"mendeley":{"formattedCitation":"&lt;sup&gt;15,16&lt;/sup&gt;","plainTextFormattedCitation":"15,16","previouslyFormattedCitation":"&lt;sup&gt;15,16&lt;/sup&gt;"},"properties":{"noteIndex":0},"schema":"https://github.com/citation-style-language/schema/raw/master/csl-citation.json"}</w:instrText>
      </w:r>
      <w:r w:rsidR="009134B6" w:rsidRPr="006A1593">
        <w:rPr>
          <w:sz w:val="24"/>
          <w:szCs w:val="24"/>
          <w:lang w:val="en-US"/>
        </w:rPr>
        <w:fldChar w:fldCharType="separate"/>
      </w:r>
      <w:r w:rsidR="00C73B4E" w:rsidRPr="006A1593">
        <w:rPr>
          <w:noProof/>
          <w:sz w:val="24"/>
          <w:szCs w:val="24"/>
          <w:vertAlign w:val="superscript"/>
          <w:lang w:val="en-US"/>
        </w:rPr>
        <w:t>15,16</w:t>
      </w:r>
      <w:r w:rsidR="009134B6" w:rsidRPr="006A1593">
        <w:rPr>
          <w:sz w:val="24"/>
          <w:szCs w:val="24"/>
          <w:lang w:val="en-US"/>
        </w:rPr>
        <w:fldChar w:fldCharType="end"/>
      </w:r>
      <w:r w:rsidR="00AE798C" w:rsidRPr="006A1593">
        <w:rPr>
          <w:sz w:val="24"/>
          <w:szCs w:val="24"/>
          <w:lang w:val="en-US"/>
        </w:rPr>
        <w:t xml:space="preserve"> </w:t>
      </w:r>
      <w:r w:rsidRPr="006A1593">
        <w:rPr>
          <w:sz w:val="24"/>
          <w:szCs w:val="24"/>
          <w:lang w:val="en-US"/>
        </w:rPr>
        <w:t xml:space="preserve">Therefore, we sought to comprehensively review the available evidence regarding NCCT markers and </w:t>
      </w:r>
      <w:r w:rsidR="0060278D" w:rsidRPr="006A1593">
        <w:rPr>
          <w:sz w:val="24"/>
          <w:szCs w:val="24"/>
          <w:lang w:val="en-US"/>
        </w:rPr>
        <w:t>HE</w:t>
      </w:r>
      <w:r w:rsidRPr="006A1593">
        <w:rPr>
          <w:sz w:val="24"/>
          <w:szCs w:val="24"/>
          <w:lang w:val="en-US"/>
        </w:rPr>
        <w:t xml:space="preserve">, propose and harmonize relevant terminology, and provide clear systematic guidelines for detection, interpretation and reporting of NCCT markers of </w:t>
      </w:r>
      <w:r w:rsidR="0060278D" w:rsidRPr="006A1593">
        <w:rPr>
          <w:sz w:val="24"/>
          <w:szCs w:val="24"/>
          <w:lang w:val="en-US"/>
        </w:rPr>
        <w:t>HE</w:t>
      </w:r>
      <w:r w:rsidR="00072865" w:rsidRPr="006A1593">
        <w:rPr>
          <w:sz w:val="24"/>
          <w:szCs w:val="24"/>
          <w:lang w:val="en-US"/>
        </w:rPr>
        <w:t xml:space="preserve"> in future </w:t>
      </w:r>
      <w:r w:rsidRPr="006A1593">
        <w:rPr>
          <w:sz w:val="24"/>
          <w:szCs w:val="24"/>
          <w:lang w:val="en-US"/>
        </w:rPr>
        <w:t>research studies</w:t>
      </w:r>
      <w:r w:rsidR="00536547" w:rsidRPr="006A1593">
        <w:rPr>
          <w:sz w:val="24"/>
          <w:szCs w:val="24"/>
          <w:lang w:val="en-US"/>
        </w:rPr>
        <w:t>.</w:t>
      </w:r>
      <w:r w:rsidRPr="006A1593">
        <w:rPr>
          <w:sz w:val="24"/>
          <w:szCs w:val="24"/>
          <w:lang w:val="en-US"/>
        </w:rPr>
        <w:t xml:space="preserve"> </w:t>
      </w:r>
      <w:r w:rsidR="00536547" w:rsidRPr="006A1593">
        <w:rPr>
          <w:sz w:val="24"/>
          <w:szCs w:val="24"/>
          <w:lang w:val="en-US"/>
        </w:rPr>
        <w:t xml:space="preserve">Although </w:t>
      </w:r>
      <w:proofErr w:type="gramStart"/>
      <w:r w:rsidR="00536547" w:rsidRPr="006A1593">
        <w:rPr>
          <w:sz w:val="24"/>
          <w:szCs w:val="24"/>
          <w:lang w:val="en-US"/>
        </w:rPr>
        <w:t>the majority of</w:t>
      </w:r>
      <w:proofErr w:type="gramEnd"/>
      <w:r w:rsidR="00536547" w:rsidRPr="006A1593">
        <w:rPr>
          <w:sz w:val="24"/>
          <w:szCs w:val="24"/>
          <w:lang w:val="en-US"/>
        </w:rPr>
        <w:t xml:space="preserve"> ICH patients experience some degree of hematoma enlargement, in this review the term HE is used referring to significant (&gt;33% and/or </w:t>
      </w:r>
      <w:r w:rsidR="00256518" w:rsidRPr="006A1593">
        <w:rPr>
          <w:sz w:val="24"/>
          <w:szCs w:val="24"/>
          <w:lang w:val="en-US"/>
        </w:rPr>
        <w:t>&gt;</w:t>
      </w:r>
      <w:r w:rsidR="00536547" w:rsidRPr="006A1593">
        <w:rPr>
          <w:sz w:val="24"/>
          <w:szCs w:val="24"/>
          <w:lang w:val="en-US"/>
        </w:rPr>
        <w:t>6 mL) hemorrhage growth.</w:t>
      </w:r>
    </w:p>
    <w:p w:rsidR="006A1593" w:rsidRPr="006A1593" w:rsidRDefault="006A1593">
      <w:pPr>
        <w:pStyle w:val="Heading1"/>
        <w:rPr>
          <w:rFonts w:ascii="Times New Roman" w:hAnsi="Times New Roman"/>
          <w:sz w:val="24"/>
          <w:szCs w:val="24"/>
          <w:u w:val="none"/>
          <w:lang w:val="en-US"/>
        </w:rPr>
      </w:pPr>
    </w:p>
    <w:p w:rsidR="00460669" w:rsidRPr="006A1593" w:rsidRDefault="00460669">
      <w:pPr>
        <w:pStyle w:val="Heading1"/>
        <w:rPr>
          <w:rFonts w:ascii="Times New Roman" w:hAnsi="Times New Roman"/>
          <w:sz w:val="24"/>
          <w:szCs w:val="24"/>
          <w:u w:val="none"/>
          <w:lang w:val="en-US"/>
        </w:rPr>
      </w:pPr>
      <w:r w:rsidRPr="006A1593">
        <w:rPr>
          <w:rFonts w:ascii="Times New Roman" w:hAnsi="Times New Roman"/>
          <w:sz w:val="24"/>
          <w:szCs w:val="24"/>
          <w:u w:val="none"/>
          <w:lang w:val="en-US"/>
        </w:rPr>
        <w:lastRenderedPageBreak/>
        <w:t>METHODS</w:t>
      </w:r>
    </w:p>
    <w:p w:rsidR="00460669" w:rsidRPr="006A1593" w:rsidRDefault="00460669">
      <w:pPr>
        <w:pStyle w:val="Heading2"/>
        <w:rPr>
          <w:rFonts w:ascii="Times New Roman" w:hAnsi="Times New Roman"/>
          <w:sz w:val="24"/>
          <w:szCs w:val="24"/>
          <w:u w:val="none"/>
          <w:lang w:val="en-US"/>
        </w:rPr>
      </w:pPr>
      <w:r w:rsidRPr="006A1593">
        <w:rPr>
          <w:rFonts w:ascii="Times New Roman" w:hAnsi="Times New Roman"/>
          <w:sz w:val="24"/>
          <w:szCs w:val="24"/>
          <w:u w:val="none"/>
          <w:lang w:val="en-US"/>
        </w:rPr>
        <w:t>Authors Selection</w:t>
      </w:r>
    </w:p>
    <w:p w:rsidR="00460669" w:rsidRPr="006A1593" w:rsidRDefault="00460669">
      <w:pPr>
        <w:rPr>
          <w:sz w:val="24"/>
          <w:szCs w:val="24"/>
          <w:lang w:val="en-US"/>
        </w:rPr>
      </w:pPr>
      <w:r w:rsidRPr="006A1593">
        <w:rPr>
          <w:sz w:val="24"/>
          <w:szCs w:val="24"/>
          <w:lang w:val="en-US"/>
        </w:rPr>
        <w:t>Potential contributors were identified by the coordinating team (AM, GB, JNG, AC) based on previous collaborations, known expertise in acute ICH imaging and a systematic literature review</w:t>
      </w:r>
      <w:r w:rsidR="000F7A5F" w:rsidRPr="006A1593">
        <w:rPr>
          <w:sz w:val="24"/>
          <w:szCs w:val="24"/>
          <w:lang w:val="en-US"/>
        </w:rPr>
        <w:t>,</w:t>
      </w:r>
      <w:r w:rsidRPr="006A1593">
        <w:rPr>
          <w:sz w:val="24"/>
          <w:szCs w:val="24"/>
          <w:lang w:val="en-US"/>
        </w:rPr>
        <w:t xml:space="preserve"> </w:t>
      </w:r>
      <w:r w:rsidR="00E46242" w:rsidRPr="006A1593">
        <w:rPr>
          <w:sz w:val="24"/>
          <w:szCs w:val="24"/>
          <w:lang w:val="en-US"/>
        </w:rPr>
        <w:t xml:space="preserve">as described in the </w:t>
      </w:r>
      <w:r w:rsidR="004A125F" w:rsidRPr="006A1593">
        <w:rPr>
          <w:sz w:val="24"/>
          <w:szCs w:val="24"/>
          <w:lang w:val="en-US"/>
        </w:rPr>
        <w:t>supplemental material</w:t>
      </w:r>
      <w:r w:rsidR="00DE30B9" w:rsidRPr="006A1593">
        <w:rPr>
          <w:sz w:val="24"/>
          <w:szCs w:val="24"/>
          <w:lang w:val="en-US"/>
        </w:rPr>
        <w:t>, where</w:t>
      </w:r>
      <w:r w:rsidR="00E46242" w:rsidRPr="006A1593">
        <w:rPr>
          <w:sz w:val="24"/>
          <w:szCs w:val="24"/>
          <w:lang w:val="en-US"/>
        </w:rPr>
        <w:t xml:space="preserve"> </w:t>
      </w:r>
      <w:r w:rsidR="00DE30B9" w:rsidRPr="006A1593">
        <w:rPr>
          <w:sz w:val="24"/>
          <w:szCs w:val="24"/>
          <w:lang w:val="en-US"/>
        </w:rPr>
        <w:t>we also provide</w:t>
      </w:r>
      <w:r w:rsidR="00256518" w:rsidRPr="006A1593">
        <w:rPr>
          <w:sz w:val="24"/>
          <w:szCs w:val="24"/>
          <w:lang w:val="en-US"/>
        </w:rPr>
        <w:t>d</w:t>
      </w:r>
      <w:r w:rsidR="00DE30B9" w:rsidRPr="006A1593">
        <w:rPr>
          <w:sz w:val="24"/>
          <w:szCs w:val="24"/>
          <w:lang w:val="en-US"/>
        </w:rPr>
        <w:t xml:space="preserve"> a systematic appraisal of quality and risk of bias of the currently available evidence. </w:t>
      </w:r>
      <w:r w:rsidRPr="006A1593">
        <w:rPr>
          <w:sz w:val="24"/>
          <w:szCs w:val="24"/>
          <w:lang w:val="en-US"/>
        </w:rPr>
        <w:t xml:space="preserve">First and last authors of all relevant papers on the topic were contacted. The coordinating team drafted and circulated a study proposal and coauthors were contacted by email and asked to participate in February 2018. </w:t>
      </w:r>
      <w:r w:rsidR="00481DBD" w:rsidRPr="006A1593">
        <w:rPr>
          <w:sz w:val="24"/>
          <w:szCs w:val="24"/>
          <w:lang w:val="en-US"/>
        </w:rPr>
        <w:t>T</w:t>
      </w:r>
      <w:r w:rsidRPr="006A1593">
        <w:rPr>
          <w:sz w:val="24"/>
          <w:szCs w:val="24"/>
          <w:lang w:val="en-US"/>
        </w:rPr>
        <w:t>he expert panel</w:t>
      </w:r>
      <w:r w:rsidR="00E46242" w:rsidRPr="006A1593">
        <w:rPr>
          <w:sz w:val="24"/>
          <w:szCs w:val="24"/>
          <w:lang w:val="en-US"/>
        </w:rPr>
        <w:t xml:space="preserve"> formulating the recommendations</w:t>
      </w:r>
      <w:r w:rsidRPr="006A1593">
        <w:rPr>
          <w:sz w:val="24"/>
          <w:szCs w:val="24"/>
          <w:lang w:val="en-US"/>
        </w:rPr>
        <w:t xml:space="preserve"> was finalized in April 2018.</w:t>
      </w:r>
      <w:r w:rsidR="00E46242" w:rsidRPr="006A1593">
        <w:rPr>
          <w:sz w:val="24"/>
          <w:szCs w:val="24"/>
          <w:lang w:val="en-US"/>
        </w:rPr>
        <w:t xml:space="preserve"> Three additional coauthors were identified </w:t>
      </w:r>
      <w:r w:rsidR="00F83458" w:rsidRPr="006A1593">
        <w:rPr>
          <w:sz w:val="24"/>
          <w:szCs w:val="24"/>
          <w:lang w:val="en-US"/>
        </w:rPr>
        <w:t xml:space="preserve">in </w:t>
      </w:r>
      <w:r w:rsidR="00E46242" w:rsidRPr="006A1593">
        <w:rPr>
          <w:sz w:val="24"/>
          <w:szCs w:val="24"/>
          <w:lang w:val="en-US"/>
        </w:rPr>
        <w:t xml:space="preserve">October 2018, </w:t>
      </w:r>
      <w:r w:rsidR="00F83458" w:rsidRPr="006A1593">
        <w:rPr>
          <w:sz w:val="24"/>
          <w:szCs w:val="24"/>
          <w:lang w:val="en-US"/>
        </w:rPr>
        <w:t>(</w:t>
      </w:r>
      <w:r w:rsidR="00E46242" w:rsidRPr="006A1593">
        <w:rPr>
          <w:sz w:val="24"/>
          <w:szCs w:val="24"/>
          <w:lang w:val="en-US"/>
        </w:rPr>
        <w:t>AS, PS, RA</w:t>
      </w:r>
      <w:r w:rsidR="009C7391" w:rsidRPr="006A1593">
        <w:rPr>
          <w:sz w:val="24"/>
          <w:szCs w:val="24"/>
          <w:lang w:val="en-US"/>
        </w:rPr>
        <w:t>-</w:t>
      </w:r>
      <w:r w:rsidR="00E46242" w:rsidRPr="006A1593">
        <w:rPr>
          <w:sz w:val="24"/>
          <w:szCs w:val="24"/>
          <w:lang w:val="en-US"/>
        </w:rPr>
        <w:t>SS) and acted as internal reviewer</w:t>
      </w:r>
      <w:r w:rsidR="00C03929" w:rsidRPr="006A1593">
        <w:rPr>
          <w:sz w:val="24"/>
          <w:szCs w:val="24"/>
          <w:lang w:val="en-US"/>
        </w:rPr>
        <w:t>s</w:t>
      </w:r>
      <w:r w:rsidR="00E46242" w:rsidRPr="006A1593">
        <w:rPr>
          <w:sz w:val="24"/>
          <w:szCs w:val="24"/>
          <w:lang w:val="en-US"/>
        </w:rPr>
        <w:t xml:space="preserve"> of the </w:t>
      </w:r>
      <w:r w:rsidR="00481DBD" w:rsidRPr="006A1593">
        <w:rPr>
          <w:sz w:val="24"/>
          <w:szCs w:val="24"/>
          <w:lang w:val="en-US"/>
        </w:rPr>
        <w:t>consensus output</w:t>
      </w:r>
      <w:r w:rsidR="00E46242" w:rsidRPr="006A1593">
        <w:rPr>
          <w:sz w:val="24"/>
          <w:szCs w:val="24"/>
          <w:lang w:val="en-US"/>
        </w:rPr>
        <w:t>.</w:t>
      </w:r>
    </w:p>
    <w:p w:rsidR="00460669" w:rsidRPr="006A1593" w:rsidRDefault="00460669" w:rsidP="00E46242">
      <w:pPr>
        <w:pStyle w:val="Heading2"/>
        <w:rPr>
          <w:rFonts w:ascii="Times New Roman" w:hAnsi="Times New Roman"/>
          <w:sz w:val="24"/>
          <w:szCs w:val="24"/>
          <w:u w:val="none"/>
          <w:lang w:val="en-US"/>
        </w:rPr>
      </w:pPr>
      <w:r w:rsidRPr="006A1593">
        <w:rPr>
          <w:rFonts w:ascii="Times New Roman" w:hAnsi="Times New Roman"/>
          <w:sz w:val="24"/>
          <w:szCs w:val="24"/>
          <w:u w:val="none"/>
          <w:lang w:val="en-US"/>
        </w:rPr>
        <w:t>Consensus modified Delphi method</w:t>
      </w:r>
    </w:p>
    <w:p w:rsidR="00460669" w:rsidRPr="006A1593" w:rsidRDefault="00460669">
      <w:pPr>
        <w:rPr>
          <w:sz w:val="24"/>
          <w:szCs w:val="24"/>
          <w:lang w:val="en-US"/>
        </w:rPr>
      </w:pPr>
      <w:r w:rsidRPr="006A1593">
        <w:rPr>
          <w:sz w:val="24"/>
          <w:szCs w:val="24"/>
          <w:lang w:val="en-US"/>
        </w:rPr>
        <w:t>Working groups c</w:t>
      </w:r>
      <w:r w:rsidR="00D43E5F" w:rsidRPr="006A1593">
        <w:rPr>
          <w:sz w:val="24"/>
          <w:szCs w:val="24"/>
          <w:lang w:val="en-US"/>
        </w:rPr>
        <w:t>omprised of 2-4 co</w:t>
      </w:r>
      <w:r w:rsidRPr="006A1593">
        <w:rPr>
          <w:sz w:val="24"/>
          <w:szCs w:val="24"/>
          <w:lang w:val="en-US"/>
        </w:rPr>
        <w:t>author teams were allocated specific subsections to draft, based on the</w:t>
      </w:r>
      <w:r w:rsidR="000F7A5F" w:rsidRPr="006A1593">
        <w:rPr>
          <w:sz w:val="24"/>
          <w:szCs w:val="24"/>
          <w:lang w:val="en-US"/>
        </w:rPr>
        <w:t>ir</w:t>
      </w:r>
      <w:r w:rsidRPr="006A1593">
        <w:rPr>
          <w:sz w:val="24"/>
          <w:szCs w:val="24"/>
          <w:lang w:val="en-US"/>
        </w:rPr>
        <w:t xml:space="preserve"> most relevant expertise. After receiving sections drafts, the coordinating </w:t>
      </w:r>
      <w:proofErr w:type="gramStart"/>
      <w:r w:rsidRPr="006A1593">
        <w:rPr>
          <w:sz w:val="24"/>
          <w:szCs w:val="24"/>
          <w:lang w:val="en-US"/>
        </w:rPr>
        <w:t xml:space="preserve">team </w:t>
      </w:r>
      <w:r w:rsidR="000F7A5F" w:rsidRPr="006A1593">
        <w:rPr>
          <w:sz w:val="24"/>
          <w:szCs w:val="24"/>
          <w:lang w:val="en-US"/>
        </w:rPr>
        <w:t>built</w:t>
      </w:r>
      <w:proofErr w:type="gramEnd"/>
      <w:r w:rsidR="000F7A5F" w:rsidRPr="006A1593">
        <w:rPr>
          <w:sz w:val="24"/>
          <w:szCs w:val="24"/>
          <w:lang w:val="en-US"/>
        </w:rPr>
        <w:t xml:space="preserve"> </w:t>
      </w:r>
      <w:r w:rsidRPr="006A1593">
        <w:rPr>
          <w:sz w:val="24"/>
          <w:szCs w:val="24"/>
          <w:lang w:val="en-US"/>
        </w:rPr>
        <w:t>tables summarizing key aspects of consensus. A modified Delphi approach was then implemented to reach consensus.</w:t>
      </w:r>
      <w:r w:rsidR="009134B6" w:rsidRPr="006A1593">
        <w:rPr>
          <w:sz w:val="24"/>
          <w:szCs w:val="24"/>
          <w:lang w:val="en-US"/>
        </w:rPr>
        <w:fldChar w:fldCharType="begin" w:fldLock="1"/>
      </w:r>
      <w:r w:rsidR="00C73B4E" w:rsidRPr="006A1593">
        <w:rPr>
          <w:sz w:val="24"/>
          <w:szCs w:val="24"/>
          <w:lang w:val="en-US"/>
        </w:rPr>
        <w:instrText>ADDIN CSL_CITATION {"citationItems":[{"id":"ITEM-1","itemData":{"DOI":"10.2164/jandrol.111.015065","ISBN":"0959-8138","ISSN":"0959-8138","PMID":"7640549","abstract":"Health providers face the problem of trying to make decisions in situations where there is insufficient information and also where there is an overload of (often contradictory) information. Statistical methods such as meta-analysis have been developed to summarise and to resolve inconsistencies in study findings--where information is available in an appropriate form. Consensus methods provide another means of synthesising information, but are liable to use a wider range of information than is common in statistical methods, and where published information is inadequate or non-existent these methods provide a means of harnessing the insights of appropriate experts to enable decisions to be made. Two consensus methods commonly adopted in medical, nursing, and health services research--the Delphi process and the nominal group technique (also known as the expert panel)--are described, together with the most appropriate situations for using them; an outline of the process involved in undertaking a study using each method is supplemented by illustrations of the authors' work. Key methodological issues in using the methods are discussed, along with the distinct contribution of consensus methods as aids to decision making, both in clinical practice and in health service development.","author":[{"dropping-particle":"","family":"Jones","given":"J","non-dropping-particle":"","parse-names":false,"suffix":""},{"dropping-particle":"","family":"Hunter","given":"D","non-dropping-particle":"","parse-names":false,"suffix":""}],"container-title":"BMJ (Clinical research ed.)","id":"ITEM-1","issue":"7001","issued":{"date-parts":[["1995"]]},"page":"376-80","title":"Consensus methods for medical and health services research.","type":"article-journal","volume":"311"},"uris":["http://www.mendeley.com/documents/?uuid=e48ae0d2-0b12-45c1-bd42-e61b4f9a903d"]},{"id":"ITEM-2","itemData":{"DOI":"10.1177/135581969900400410","ISSN":"1355-8196","PMID":"10623041","abstract":"BACKGROUND Although there is debate about the appropriate place of guidelines in clinical practice, guidelines can be seen as one way of assisting clinicians in decision-making. Given the likely diversity of opinion that any group of people may display when considering a topic, methods are needed for organising subjective judgements. Three principal methods (Delphi, nominal group technique, consensus development conference) exist which share the common objective of synthesising judgements when a state of uncertainty exists. OBJECTIVES To identify the factors that shape and influence the clinical guidelines that emerge from consensus development methods and to make recommendations about best practice in the use of such methods. METHODS Five electronic databases were searched: Medline (1966-1996), PsychLIT (1974-1996), Social Science Citation Index (1990-1996), ABI Inform and Sociofile. From the searches and reference lists of articles a total of 177 empirical and review articles were selected for review. RESULTS The output from consensus development methods may be affected by: the way the task is set (choice of cues, recognition of contextual cues, the focus of the task, the comprehensiveness of the scenarios); the selection of participants (choice of individuals, degree of homogeneity of the group, their background, their number); the selection and presentation of scientific information (format, extent to which its quality and content is assessed); the way any interaction is structured (number of rating rounds, ensuring equitable participation, physical environment for meetings); and the method of synthesising individual judgements (definition of agreement, rules governing outliers, method of mathematical aggregation). CONCLUSIONS Although a considerable amount of research has been carried out, many aspects have not been investigated sufficiently. For the time being at least, advice on those aspects has, therefore, to be based on the user's own commonsense and the experience of those who have used or participated in these methods. Even in the long term, some aspects will not be amenable to scientific study. Meanwhile, adherence to best practice will enhance the validity, reliability and impact of the clinical guidelines produced.","author":[{"dropping-particle":"","family":"Black","given":"Nick","non-dropping-particle":"","parse-names":false,"suffix":""},{"dropping-particle":"","family":"Murphy","given":"Maggie","non-dropping-particle":"","parse-names":false,"suffix":""},{"dropping-particle":"","family":"Lamping","given":"Donna","non-dropping-particle":"","parse-names":false,"suffix":""},{"dropping-particle":"","family":"McKee","given":"Martin","non-dropping-particle":"","parse-names":false,"suffix":""},{"dropping-particle":"","family":"Sanderson","given":"Colin","non-dropping-particle":"","parse-names":false,"suffix":""},{"dropping-particle":"","family":"Askham","given":"Janet","non-dropping-particle":"","parse-names":false,"suffix":""},{"dropping-particle":"","family":"Marteau","given":"Theresa","non-dropping-particle":"","parse-names":false,"suffix":""}],"container-title":"Journal of Health Services Research &amp; Policy","id":"ITEM-2","issue":"4","issued":{"date-parts":[["1999","10","24"]]},"page":"236-248","title":"Consensus Development Methods: A Review of Best Practice in Creating Clinical Guidelines","type":"article-journal","volume":"4"},"uris":["http://www.mendeley.com/documents/?uuid=8fcc9e70-d3b3-3064-a777-5ebcbc8e36c9"]}],"mendeley":{"formattedCitation":"&lt;sup&gt;17,18&lt;/sup&gt;","plainTextFormattedCitation":"17,18","previouslyFormattedCitation":"&lt;sup&gt;17,18&lt;/sup&gt;"},"properties":{"noteIndex":0},"schema":"https://github.com/citation-style-language/schema/raw/master/csl-citation.json"}</w:instrText>
      </w:r>
      <w:r w:rsidR="009134B6" w:rsidRPr="006A1593">
        <w:rPr>
          <w:sz w:val="24"/>
          <w:szCs w:val="24"/>
          <w:lang w:val="en-US"/>
        </w:rPr>
        <w:fldChar w:fldCharType="separate"/>
      </w:r>
      <w:r w:rsidR="00C73B4E" w:rsidRPr="006A1593">
        <w:rPr>
          <w:noProof/>
          <w:sz w:val="24"/>
          <w:szCs w:val="24"/>
          <w:vertAlign w:val="superscript"/>
          <w:lang w:val="en-US"/>
        </w:rPr>
        <w:t>17,18</w:t>
      </w:r>
      <w:r w:rsidR="009134B6" w:rsidRPr="006A1593">
        <w:rPr>
          <w:sz w:val="24"/>
          <w:szCs w:val="24"/>
          <w:lang w:val="en-US"/>
        </w:rPr>
        <w:fldChar w:fldCharType="end"/>
      </w:r>
      <w:r w:rsidRPr="006A1593">
        <w:rPr>
          <w:sz w:val="24"/>
          <w:szCs w:val="24"/>
          <w:lang w:val="en-US"/>
        </w:rPr>
        <w:t xml:space="preserve"> All contributors were asked to vote (agreement/disagr</w:t>
      </w:r>
      <w:r w:rsidR="000F7A5F" w:rsidRPr="006A1593">
        <w:rPr>
          <w:sz w:val="24"/>
          <w:szCs w:val="24"/>
          <w:lang w:val="en-US"/>
        </w:rPr>
        <w:t xml:space="preserve">eement) on every point of the </w:t>
      </w:r>
      <w:r w:rsidRPr="006A1593">
        <w:rPr>
          <w:sz w:val="24"/>
          <w:szCs w:val="24"/>
          <w:lang w:val="en-US"/>
        </w:rPr>
        <w:t>tables, providing feedback and comments for improvement, especially in case of disagreement. Points that reached an agreement</w:t>
      </w:r>
      <w:r w:rsidR="000F7A5F" w:rsidRPr="006A1593">
        <w:rPr>
          <w:sz w:val="24"/>
          <w:szCs w:val="24"/>
          <w:lang w:val="en-US"/>
        </w:rPr>
        <w:t xml:space="preserve"> </w:t>
      </w:r>
      <w:r w:rsidR="00593451" w:rsidRPr="006A1593">
        <w:rPr>
          <w:sz w:val="24"/>
          <w:szCs w:val="24"/>
          <w:lang w:val="en-US"/>
        </w:rPr>
        <w:t>&gt;</w:t>
      </w:r>
      <w:r w:rsidRPr="006A1593">
        <w:rPr>
          <w:sz w:val="24"/>
          <w:szCs w:val="24"/>
          <w:lang w:val="en-US"/>
        </w:rPr>
        <w:t xml:space="preserve">80% were approved and included in the present guideline. Conversely, topics that did not reach an 80% agreement were revised by the responsible authors following </w:t>
      </w:r>
      <w:r w:rsidR="00D8462B" w:rsidRPr="006A1593">
        <w:rPr>
          <w:sz w:val="24"/>
          <w:szCs w:val="24"/>
          <w:lang w:val="en-US"/>
        </w:rPr>
        <w:t xml:space="preserve">feedback </w:t>
      </w:r>
      <w:r w:rsidRPr="006A1593">
        <w:rPr>
          <w:sz w:val="24"/>
          <w:szCs w:val="24"/>
          <w:lang w:val="en-US"/>
        </w:rPr>
        <w:t xml:space="preserve">provided by the study group. A second round of consensus voting was performed asking all participants to rate the updated points that were not approved in the previous round. After a total of </w:t>
      </w:r>
      <w:r w:rsidR="000F7A5F" w:rsidRPr="006A1593">
        <w:rPr>
          <w:sz w:val="24"/>
          <w:szCs w:val="24"/>
          <w:lang w:val="en-US"/>
        </w:rPr>
        <w:t>two</w:t>
      </w:r>
      <w:r w:rsidRPr="006A1593">
        <w:rPr>
          <w:sz w:val="24"/>
          <w:szCs w:val="24"/>
          <w:lang w:val="en-US"/>
        </w:rPr>
        <w:t xml:space="preserve"> rounds of voting all the </w:t>
      </w:r>
      <w:r w:rsidR="000F7A5F" w:rsidRPr="006A1593">
        <w:rPr>
          <w:sz w:val="24"/>
          <w:szCs w:val="24"/>
          <w:lang w:val="en-US"/>
        </w:rPr>
        <w:t>recommendations</w:t>
      </w:r>
      <w:r w:rsidR="00772CCC" w:rsidRPr="006A1593">
        <w:rPr>
          <w:sz w:val="24"/>
          <w:szCs w:val="24"/>
          <w:lang w:val="en-US"/>
        </w:rPr>
        <w:t xml:space="preserve"> were approved with a &gt;</w:t>
      </w:r>
      <w:r w:rsidR="00D8462B" w:rsidRPr="006A1593">
        <w:rPr>
          <w:sz w:val="24"/>
          <w:szCs w:val="24"/>
          <w:lang w:val="en-US"/>
        </w:rPr>
        <w:t>9</w:t>
      </w:r>
      <w:r w:rsidR="000A4D44" w:rsidRPr="006A1593">
        <w:rPr>
          <w:sz w:val="24"/>
          <w:szCs w:val="24"/>
          <w:lang w:val="en-US"/>
        </w:rPr>
        <w:t xml:space="preserve">0% agreement. </w:t>
      </w:r>
      <w:r w:rsidRPr="006A1593">
        <w:rPr>
          <w:sz w:val="24"/>
          <w:szCs w:val="24"/>
          <w:lang w:val="en-US"/>
        </w:rPr>
        <w:t>The coordinating team drafted and circulated t</w:t>
      </w:r>
      <w:r w:rsidR="00F83458" w:rsidRPr="006A1593">
        <w:rPr>
          <w:sz w:val="24"/>
          <w:szCs w:val="24"/>
          <w:lang w:val="en-US"/>
        </w:rPr>
        <w:t xml:space="preserve">he final version of the </w:t>
      </w:r>
      <w:r w:rsidRPr="006A1593">
        <w:rPr>
          <w:sz w:val="24"/>
          <w:szCs w:val="24"/>
          <w:lang w:val="en-US"/>
        </w:rPr>
        <w:t xml:space="preserve">manuscript and </w:t>
      </w:r>
      <w:r w:rsidR="00D8462B" w:rsidRPr="006A1593">
        <w:rPr>
          <w:sz w:val="24"/>
          <w:szCs w:val="24"/>
          <w:lang w:val="en-US"/>
        </w:rPr>
        <w:t>participants</w:t>
      </w:r>
      <w:r w:rsidRPr="006A1593">
        <w:rPr>
          <w:sz w:val="24"/>
          <w:szCs w:val="24"/>
          <w:lang w:val="en-US"/>
        </w:rPr>
        <w:t xml:space="preserve"> w</w:t>
      </w:r>
      <w:r w:rsidR="00D8462B" w:rsidRPr="006A1593">
        <w:rPr>
          <w:sz w:val="24"/>
          <w:szCs w:val="24"/>
          <w:lang w:val="en-US"/>
        </w:rPr>
        <w:t>ere</w:t>
      </w:r>
      <w:r w:rsidRPr="006A1593">
        <w:rPr>
          <w:sz w:val="24"/>
          <w:szCs w:val="24"/>
          <w:lang w:val="en-US"/>
        </w:rPr>
        <w:t xml:space="preserve"> asked to provide comments, disclosures an</w:t>
      </w:r>
      <w:r w:rsidR="00C03929" w:rsidRPr="006A1593">
        <w:rPr>
          <w:sz w:val="24"/>
          <w:szCs w:val="24"/>
          <w:lang w:val="en-US"/>
        </w:rPr>
        <w:t>d other relevant information</w:t>
      </w:r>
      <w:r w:rsidRPr="006A1593">
        <w:rPr>
          <w:sz w:val="24"/>
          <w:szCs w:val="24"/>
          <w:lang w:val="en-US"/>
        </w:rPr>
        <w:t xml:space="preserve">. All </w:t>
      </w:r>
      <w:r w:rsidR="00C03929" w:rsidRPr="006A1593">
        <w:rPr>
          <w:sz w:val="24"/>
          <w:szCs w:val="24"/>
          <w:lang w:val="en-US"/>
        </w:rPr>
        <w:t>coauthors</w:t>
      </w:r>
      <w:r w:rsidRPr="006A1593">
        <w:rPr>
          <w:sz w:val="24"/>
          <w:szCs w:val="24"/>
          <w:lang w:val="en-US"/>
        </w:rPr>
        <w:t xml:space="preserve"> approved th</w:t>
      </w:r>
      <w:r w:rsidR="000F7A5F" w:rsidRPr="006A1593">
        <w:rPr>
          <w:sz w:val="24"/>
          <w:szCs w:val="24"/>
          <w:lang w:val="en-US"/>
        </w:rPr>
        <w:t xml:space="preserve">e </w:t>
      </w:r>
      <w:r w:rsidR="00DE30B9" w:rsidRPr="006A1593">
        <w:rPr>
          <w:sz w:val="24"/>
          <w:szCs w:val="24"/>
          <w:lang w:val="en-US"/>
        </w:rPr>
        <w:t>revised</w:t>
      </w:r>
      <w:r w:rsidR="000F7A5F" w:rsidRPr="006A1593">
        <w:rPr>
          <w:sz w:val="24"/>
          <w:szCs w:val="24"/>
          <w:lang w:val="en-US"/>
        </w:rPr>
        <w:t xml:space="preserve"> version of the paper in </w:t>
      </w:r>
      <w:r w:rsidR="00DE30B9" w:rsidRPr="006A1593">
        <w:rPr>
          <w:sz w:val="24"/>
          <w:szCs w:val="24"/>
          <w:lang w:val="en-US"/>
        </w:rPr>
        <w:t>June 2019</w:t>
      </w:r>
      <w:r w:rsidRPr="006A1593">
        <w:rPr>
          <w:sz w:val="24"/>
          <w:szCs w:val="24"/>
          <w:lang w:val="en-US"/>
        </w:rPr>
        <w:t>.</w:t>
      </w:r>
    </w:p>
    <w:p w:rsidR="00460669" w:rsidRPr="006A1593" w:rsidRDefault="00460669">
      <w:pPr>
        <w:pStyle w:val="Heading1"/>
        <w:rPr>
          <w:rFonts w:ascii="Times New Roman" w:hAnsi="Times New Roman"/>
          <w:sz w:val="24"/>
          <w:szCs w:val="24"/>
          <w:u w:val="none"/>
          <w:lang w:val="en-US"/>
        </w:rPr>
      </w:pPr>
      <w:r w:rsidRPr="006A1593">
        <w:rPr>
          <w:rFonts w:ascii="Times New Roman" w:hAnsi="Times New Roman"/>
          <w:sz w:val="24"/>
          <w:szCs w:val="24"/>
          <w:u w:val="none"/>
          <w:lang w:val="en-US"/>
        </w:rPr>
        <w:t>IMAGE ACQUISITION</w:t>
      </w:r>
    </w:p>
    <w:p w:rsidR="006100EC" w:rsidRPr="006A1593" w:rsidRDefault="00460669">
      <w:pPr>
        <w:rPr>
          <w:sz w:val="24"/>
          <w:szCs w:val="24"/>
          <w:lang w:val="en-US"/>
        </w:rPr>
      </w:pPr>
      <w:r w:rsidRPr="006A1593">
        <w:rPr>
          <w:sz w:val="24"/>
          <w:szCs w:val="24"/>
          <w:lang w:val="en-US"/>
        </w:rPr>
        <w:t>There is no consensus on the optimal acquisition parameters for NCCT</w:t>
      </w:r>
      <w:r w:rsidR="008F3EB9" w:rsidRPr="006A1593">
        <w:rPr>
          <w:sz w:val="24"/>
          <w:szCs w:val="24"/>
          <w:lang w:val="en-US"/>
        </w:rPr>
        <w:t xml:space="preserve"> marker</w:t>
      </w:r>
      <w:r w:rsidR="000949DA" w:rsidRPr="006A1593">
        <w:rPr>
          <w:sz w:val="24"/>
          <w:szCs w:val="24"/>
          <w:lang w:val="en-US"/>
        </w:rPr>
        <w:t>s</w:t>
      </w:r>
      <w:r w:rsidR="008F3EB9" w:rsidRPr="006A1593">
        <w:rPr>
          <w:sz w:val="24"/>
          <w:szCs w:val="24"/>
          <w:lang w:val="en-US"/>
        </w:rPr>
        <w:t xml:space="preserve"> detection, and</w:t>
      </w:r>
      <w:r w:rsidRPr="006A1593">
        <w:rPr>
          <w:sz w:val="24"/>
          <w:szCs w:val="24"/>
          <w:lang w:val="en-US"/>
        </w:rPr>
        <w:t xml:space="preserve"> NCCT acquisition protocols are inconsistently reported across publications. </w:t>
      </w:r>
      <w:r w:rsidR="006100EC" w:rsidRPr="006A1593">
        <w:rPr>
          <w:sz w:val="24"/>
          <w:szCs w:val="24"/>
          <w:lang w:val="en-US"/>
        </w:rPr>
        <w:t>However, contrary to CTA acquisition parameters for spot sign detection, there is no evidence that NCCT acquisition parameters influence NCCT markers detection.</w:t>
      </w:r>
      <w:r w:rsidR="00832932" w:rsidRPr="006A1593">
        <w:rPr>
          <w:sz w:val="24"/>
          <w:szCs w:val="24"/>
          <w:lang w:val="en-US"/>
        </w:rPr>
        <w:t xml:space="preserve"> </w:t>
      </w:r>
      <w:r w:rsidR="006100EC" w:rsidRPr="006A1593">
        <w:rPr>
          <w:sz w:val="24"/>
          <w:szCs w:val="24"/>
          <w:lang w:val="en-US"/>
        </w:rPr>
        <w:t>Therefore, i</w:t>
      </w:r>
      <w:r w:rsidRPr="006A1593">
        <w:rPr>
          <w:sz w:val="24"/>
          <w:szCs w:val="24"/>
          <w:lang w:val="en-US"/>
        </w:rPr>
        <w:t>mage acquisition should</w:t>
      </w:r>
      <w:r w:rsidR="006100EC" w:rsidRPr="006A1593">
        <w:rPr>
          <w:sz w:val="24"/>
          <w:szCs w:val="24"/>
          <w:lang w:val="en-US"/>
        </w:rPr>
        <w:t xml:space="preserve"> achieve the </w:t>
      </w:r>
      <w:r w:rsidR="006100EC" w:rsidRPr="006A1593">
        <w:rPr>
          <w:sz w:val="24"/>
          <w:szCs w:val="24"/>
          <w:lang w:val="en-US"/>
        </w:rPr>
        <w:lastRenderedPageBreak/>
        <w:t>best balance possible between</w:t>
      </w:r>
      <w:r w:rsidRPr="006A1593">
        <w:rPr>
          <w:sz w:val="24"/>
          <w:szCs w:val="24"/>
          <w:lang w:val="en-US"/>
        </w:rPr>
        <w:t xml:space="preserve"> dose reduction and image quality</w:t>
      </w:r>
      <w:r w:rsidR="006100EC" w:rsidRPr="006A1593">
        <w:rPr>
          <w:sz w:val="24"/>
          <w:szCs w:val="24"/>
          <w:lang w:val="en-US"/>
        </w:rPr>
        <w:t xml:space="preserve"> as recommended </w:t>
      </w:r>
      <w:r w:rsidR="00A048E7" w:rsidRPr="006A1593">
        <w:rPr>
          <w:sz w:val="24"/>
          <w:szCs w:val="24"/>
          <w:lang w:val="en-US"/>
        </w:rPr>
        <w:t>by</w:t>
      </w:r>
      <w:r w:rsidR="006100EC" w:rsidRPr="006A1593">
        <w:rPr>
          <w:sz w:val="24"/>
          <w:szCs w:val="24"/>
          <w:lang w:val="en-US"/>
        </w:rPr>
        <w:t xml:space="preserve"> international guidelines</w:t>
      </w:r>
      <w:r w:rsidR="009134B6" w:rsidRPr="006A1593">
        <w:rPr>
          <w:sz w:val="24"/>
          <w:szCs w:val="24"/>
          <w:lang w:val="en-US"/>
        </w:rPr>
        <w:fldChar w:fldCharType="begin" w:fldLock="1"/>
      </w:r>
      <w:r w:rsidR="00C73B4E" w:rsidRPr="006A1593">
        <w:rPr>
          <w:sz w:val="24"/>
          <w:szCs w:val="24"/>
          <w:lang w:val="en-US"/>
        </w:rPr>
        <w:instrText>ADDIN CSL_CITATION {"citationItems":[{"id":"ITEM-1","itemData":{"DOI":"10.3174/ajnr.A0814","ISBN":"0195-6108 (Print)\\n0195-6108 (Linking)","ISSN":"01956108","PMID":"17893208","abstract":"Within the past 2 decades, the number of CT examinations performed has increased almost 10-fold. This is in large part due to advances in multidetector-row CT technology, which now allows faster image acquisition and improved isotropic imaging. The increased use, along with multidetector technique, has led to a significantly increased radiation dose to the patient from CT studies. This places increased responsibility on the radiologist to ensure that CT examinations are indicated and that the \"as low as reasonably achievable\" concept is adhered to. Neuroradiologists are familiar with factors that affect patient dose such as pitch, milliamperes, kilovolt peak (kVp), collimation, but with increasing attention being given to dose reduction, they are looking for additional ways to further reduce the radiation associated with their CT protocols. In response to increasing concern, CT manufacturers have developed dose-reduction tools, such as dose modulation, in which the tube current is adjusted along with the CT acquisition, according to patient's attenuation. This review will describe the available techniques for reducing dose associated with neuroradiologic CT imaging protocols.","author":[{"dropping-particle":"","family":"Smith","given":"a. B.","non-dropping-particle":"","parse-names":false,"suffix":""},{"dropping-particle":"","family":"Dillon","given":"W. P.","non-dropping-particle":"","parse-names":false,"suffix":""},{"dropping-particle":"","family":"Gould","given":"R.","non-dropping-particle":"","parse-names":false,"suffix":""},{"dropping-particle":"","family":"Wintermark","given":"Max","non-dropping-particle":"","parse-names":false,"suffix":""}],"container-title":"American Journal of Neuroradiology","id":"ITEM-1","issue":"9","issued":{"date-parts":[["2007"]]},"page":"1628-1632","title":"Radiation dose-reduction strategies for neuroradiology CT protocols","type":"article-journal","volume":"28"},"uris":["http://www.mendeley.com/documents/?uuid=4fdbcd34-7664-4a5d-893e-05d6511896ec"]},{"id":"ITEM-2","itemData":{"author":[{"dropping-particle":"","family":"American College of Radiology","given":"","non-dropping-particle":"","parse-names":false,"suffix":""}],"id":"ITEM-2","issue":"19","issued":{"date-parts":[["2015"]]},"page":"1-14","title":"Acr–Asnr–Spr Practice Parameter for the Performance and Interpretation of Cervicocerebral Computed Tomography Angiography (Cta)","type":"article-journal","volume":"1076"},"uris":["http://www.mendeley.com/documents/?uuid=810fedea-c002-4a0f-bee8-5d7af52cec73"]},{"id":"ITEM-3","itemData":{"DOI":"10.1016/S1474-4422(08)70069-3","ISBN":"1474-4422 (Print)\\r1474-4422 (Linking)","ISSN":"14744422","PMID":"18396107","abstract":"Background: There is much uncertainty about the effects of early lowering of elevated blood pressure (BP) after acute intracerebral haemorrhage (ICH). Our aim was to assess the safety and efficiency of this treatment, as a run-in phase to a larger trial. Methods: Patients who had acute spontaneous ICH diagnosed by CT within 6 h of onset, elevated systolic BP (150-220 mm Hg), and no definite indication or contraindication to treatment were randomly assigned to early intensive lowering of BP (target systolic BP 140 mm Hg; n=203) or standard guideline-based management of BP (target systolic BP 180 mm Hg; n=201). The primary efficacy endpoint was proportional change in haematoma volume at 24 h; secondary efficacy outcomes included other measurements of haematoma volume. Safety and clinical outcomes were assessed for up to 90 days. Analysis was by intention to treat. This trial is registered with ClinicalTrials.gov, number NCT00226096. Findings: Baseline characteristics of patients were similar between groups, but mean haematoma volumes were smaller in the guideline group (12·7 mL, SD 11·6) than in the intensive group (14·2 mL, SD 14·5). From randomisation to 1 h, mean systolic BP was 153 mm Hg in the intensive group and 167 mm Hg in the guideline group (difference 13·3 mm Hg, 95% CI 8·9-17·6 mm Hg; p&lt;0·0001); from 1 h to 24 h, BP was 146 mm Hg in the intensive group and 157 mm Hg in the guideline group (10·8 mm Hg, 95% CI 7·7-13·9 mm Hg; p&lt;0·0001). Mean proportional haematoma growth was 36·3% in the guideline group and 13·7% in the intensive group (difference 22·6%, 95% CI 0·6-44·5%; p=0·04) at 24 h. After adjustment for initial haematoma volume and time from onset to CT, medi</w:instrText>
      </w:r>
      <w:r w:rsidR="00C73B4E" w:rsidRPr="006A1593">
        <w:rPr>
          <w:rFonts w:hint="eastAsia"/>
          <w:sz w:val="24"/>
          <w:szCs w:val="24"/>
          <w:lang w:val="en-US"/>
        </w:rPr>
        <w:instrText>an haematoma growth differed between the groups with p=0</w:instrText>
      </w:r>
      <w:r w:rsidR="00C73B4E" w:rsidRPr="006A1593">
        <w:rPr>
          <w:rFonts w:hint="eastAsia"/>
          <w:sz w:val="24"/>
          <w:szCs w:val="24"/>
          <w:lang w:val="en-US"/>
        </w:rPr>
        <w:instrText>·</w:instrText>
      </w:r>
      <w:r w:rsidR="00C73B4E" w:rsidRPr="006A1593">
        <w:rPr>
          <w:rFonts w:hint="eastAsia"/>
          <w:sz w:val="24"/>
          <w:szCs w:val="24"/>
          <w:lang w:val="en-US"/>
        </w:rPr>
        <w:instrText>06; the absolute difference in volume between groups was 1</w:instrText>
      </w:r>
      <w:r w:rsidR="00C73B4E" w:rsidRPr="006A1593">
        <w:rPr>
          <w:rFonts w:hint="eastAsia"/>
          <w:sz w:val="24"/>
          <w:szCs w:val="24"/>
          <w:lang w:val="en-US"/>
        </w:rPr>
        <w:instrText>·</w:instrText>
      </w:r>
      <w:r w:rsidR="00C73B4E" w:rsidRPr="006A1593">
        <w:rPr>
          <w:rFonts w:hint="eastAsia"/>
          <w:sz w:val="24"/>
          <w:szCs w:val="24"/>
          <w:lang w:val="en-US"/>
        </w:rPr>
        <w:instrText>7 mL (95% CI -0</w:instrText>
      </w:r>
      <w:r w:rsidR="00C73B4E" w:rsidRPr="006A1593">
        <w:rPr>
          <w:rFonts w:hint="eastAsia"/>
          <w:sz w:val="24"/>
          <w:szCs w:val="24"/>
          <w:lang w:val="en-US"/>
        </w:rPr>
        <w:instrText>·</w:instrText>
      </w:r>
      <w:r w:rsidR="00C73B4E" w:rsidRPr="006A1593">
        <w:rPr>
          <w:rFonts w:hint="eastAsia"/>
          <w:sz w:val="24"/>
          <w:szCs w:val="24"/>
          <w:lang w:val="en-US"/>
        </w:rPr>
        <w:instrText>5 to 3</w:instrText>
      </w:r>
      <w:r w:rsidR="00C73B4E" w:rsidRPr="006A1593">
        <w:rPr>
          <w:rFonts w:hint="eastAsia"/>
          <w:sz w:val="24"/>
          <w:szCs w:val="24"/>
          <w:lang w:val="en-US"/>
        </w:rPr>
        <w:instrText>·</w:instrText>
      </w:r>
      <w:r w:rsidR="00C73B4E" w:rsidRPr="006A1593">
        <w:rPr>
          <w:rFonts w:hint="eastAsia"/>
          <w:sz w:val="24"/>
          <w:szCs w:val="24"/>
          <w:lang w:val="en-US"/>
        </w:rPr>
        <w:instrText>9, p=0</w:instrText>
      </w:r>
      <w:r w:rsidR="00C73B4E" w:rsidRPr="006A1593">
        <w:rPr>
          <w:rFonts w:hint="eastAsia"/>
          <w:sz w:val="24"/>
          <w:szCs w:val="24"/>
          <w:lang w:val="en-US"/>
        </w:rPr>
        <w:instrText>·</w:instrText>
      </w:r>
      <w:r w:rsidR="00C73B4E" w:rsidRPr="006A1593">
        <w:rPr>
          <w:rFonts w:hint="eastAsia"/>
          <w:sz w:val="24"/>
          <w:szCs w:val="24"/>
          <w:lang w:val="en-US"/>
        </w:rPr>
        <w:instrText xml:space="preserve">13). Relative risk of haematoma growth </w:instrText>
      </w:r>
      <w:r w:rsidR="00C73B4E" w:rsidRPr="006A1593">
        <w:rPr>
          <w:rFonts w:hint="eastAsia"/>
          <w:sz w:val="24"/>
          <w:szCs w:val="24"/>
          <w:lang w:val="en-US"/>
        </w:rPr>
        <w:instrText>≥</w:instrText>
      </w:r>
      <w:r w:rsidR="00C73B4E" w:rsidRPr="006A1593">
        <w:rPr>
          <w:rFonts w:hint="eastAsia"/>
          <w:sz w:val="24"/>
          <w:szCs w:val="24"/>
          <w:lang w:val="en-US"/>
        </w:rPr>
        <w:instrText xml:space="preserve">33% or </w:instrText>
      </w:r>
      <w:r w:rsidR="00C73B4E" w:rsidRPr="006A1593">
        <w:rPr>
          <w:rFonts w:hint="eastAsia"/>
          <w:sz w:val="24"/>
          <w:szCs w:val="24"/>
          <w:lang w:val="en-US"/>
        </w:rPr>
        <w:instrText>≥</w:instrText>
      </w:r>
      <w:r w:rsidR="00C73B4E" w:rsidRPr="006A1593">
        <w:rPr>
          <w:rFonts w:hint="eastAsia"/>
          <w:sz w:val="24"/>
          <w:szCs w:val="24"/>
          <w:lang w:val="en-US"/>
        </w:rPr>
        <w:instrText>12</w:instrText>
      </w:r>
      <w:r w:rsidR="00C73B4E" w:rsidRPr="006A1593">
        <w:rPr>
          <w:rFonts w:hint="eastAsia"/>
          <w:sz w:val="24"/>
          <w:szCs w:val="24"/>
          <w:lang w:val="en-US"/>
        </w:rPr>
        <w:instrText>·</w:instrText>
      </w:r>
      <w:r w:rsidR="00C73B4E" w:rsidRPr="006A1593">
        <w:rPr>
          <w:rFonts w:hint="eastAsia"/>
          <w:sz w:val="24"/>
          <w:szCs w:val="24"/>
          <w:lang w:val="en-US"/>
        </w:rPr>
        <w:instrText>5 mL was 36% lower (95% CI 0-59%, p=0</w:instrText>
      </w:r>
      <w:r w:rsidR="00C73B4E" w:rsidRPr="006A1593">
        <w:rPr>
          <w:rFonts w:hint="eastAsia"/>
          <w:sz w:val="24"/>
          <w:szCs w:val="24"/>
          <w:lang w:val="en-US"/>
        </w:rPr>
        <w:instrText>·</w:instrText>
      </w:r>
      <w:r w:rsidR="00C73B4E" w:rsidRPr="006A1593">
        <w:rPr>
          <w:rFonts w:hint="eastAsia"/>
          <w:sz w:val="24"/>
          <w:szCs w:val="24"/>
          <w:lang w:val="en-US"/>
        </w:rPr>
        <w:instrText>05) in the intensive</w:instrText>
      </w:r>
      <w:r w:rsidR="00C73B4E" w:rsidRPr="006A1593">
        <w:rPr>
          <w:sz w:val="24"/>
          <w:szCs w:val="24"/>
          <w:lang w:val="en-US"/>
        </w:rPr>
        <w:instrText xml:space="preserve"> group than in the guideline group. The absolute risk reduction was 8% (95% CI -1·0 to 17%, p=0·05). Intensive BP-lowering treatment did not alter the risks of adverse events or secondary clinical outcomes at 90 days. Interpretation: Early intensive BP-lowering treatment is clinically feasible, well tolerated, and seems to reduce haematoma growth in ICH. A large randomised trial is needed to define the effects on clinical outcomes across a broad range of patients with ICH. Funding: National Health and Medical Research Council of Austra…","author":[{"dropping-particle":"","family":"Anderson","given":"Craig S.","non-dropping-particle":"","parse-names":false,"suffix":""},{"dropping-particle":"","family":"Huang","given":"Yining","non-dropping-particle":"","parse-names":false,"suffix":""},{"dropping-particle":"","family":"Wang","given":"Ji Guang","non-dropping-particle":"","parse-names":false,"suffix":""},{"dropping-particle":"","family":"Arima","given":"Hisatomi","non-dropping-particle":"","parse-names":false,"suffix":""},{"dropping-particle":"","family":"Neal","given":"Bruce","non-dropping-particle":"","parse-names":false,"suffix":""},{"dropping-particle":"","family":"Peng","given":"Bin","non-dropping-particle":"","parse-names":false,"suffix":""},{"dropping-particle":"","family":"Heeley","given":"Emma","non-dropping-particle":"","parse-names":false,"suffix":""},{"dropping-particle":"","family":"Skulina","given":"Christian","non-dropping-particle":"","parse-names":false,"suffix":""},{"dropping-particle":"","family":"Parsons","given":"Mark W.","non-dropping-particle":"","parse-names":false,"suffix":""},{"dropping-particle":"","family":"Kim","given":"Jong Sung","non-dropping-particle":"","parse-names":false,"suffix":""},{"dropping-particle":"","family":"Tao","given":"Qing Ling","non-dropping-particle":"","parse-names":false,"suffix":""},{"dropping-particle":"","family":"Li","given":"Yue Chun","non-dropping-particle":"","parse-names":false,"suffix":""},{"dropping-particle":"","family":"Jiang","given":"Jian Dong","non-dropping-particle":"","parse-names":false,"suffix":""},{"dropping-particle":"","family":"Tai","given":"Li Wen","non-dropping-particle":"","parse-names":false,"suffix":""},{"dropping-particle":"","family":"Zhang","given":"Jin Li","non-dropping-particle":"","parse-names":false,"suffix":""},{"dropping-particle":"","family":"Xu","given":"En","non-dropping-particle":"","parse-names":false,"suffix":""},{"dropping-particle":"","family":"Cheng","given":"Yan","non-dropping-particle":"","parse-names":false,"suffix":""},{"dropping-particle":"","family":"Heritier","given":"Stephane","non-dropping-particle":"","parse-names":false,"suffix":""},{"dropping-particle":"","family":"Morgenstern","given":"Lewis B.","non-dropping-particle":"","parse-names":false,"suffix":""},{"dropping-particle":"","family":"Chalmers","given":"John","non-dropping-particle":"","parse-names":false,"suffix":""}],"container-title":"The Lancet Neurology","id":"ITEM-3","issue":"5","issued":{"date-parts":[["2008"]]},"page":"391-399","title":"Intensive blood pressure reduction in acute cerebral haemorrhage trial (INTERACT): a randomised pilot trial","type":"article-journal","volume":"7"},"uris":["http://www.mendeley.com/documents/?uuid=69dff8e5-e55f-4b7c-ac80-07fa42d20d5d"]}],"mendeley":{"formattedCitation":"&lt;sup&gt;19–21&lt;/sup&gt;","plainTextFormattedCitation":"19–21","previouslyFormattedCitation":"&lt;sup&gt;19–21&lt;/sup&gt;"},"properties":{"noteIndex":0},"schema":"https://github.com/citation-style-language/schema/raw/master/csl-citation.json"}</w:instrText>
      </w:r>
      <w:r w:rsidR="009134B6" w:rsidRPr="006A1593">
        <w:rPr>
          <w:sz w:val="24"/>
          <w:szCs w:val="24"/>
          <w:lang w:val="en-US"/>
        </w:rPr>
        <w:fldChar w:fldCharType="separate"/>
      </w:r>
      <w:r w:rsidR="00C73B4E" w:rsidRPr="006A1593">
        <w:rPr>
          <w:noProof/>
          <w:sz w:val="24"/>
          <w:szCs w:val="24"/>
          <w:vertAlign w:val="superscript"/>
          <w:lang w:val="en-US"/>
        </w:rPr>
        <w:t>19–21</w:t>
      </w:r>
      <w:r w:rsidR="009134B6" w:rsidRPr="006A1593">
        <w:rPr>
          <w:sz w:val="24"/>
          <w:szCs w:val="24"/>
          <w:lang w:val="en-US"/>
        </w:rPr>
        <w:fldChar w:fldCharType="end"/>
      </w:r>
      <w:r w:rsidR="006100EC" w:rsidRPr="006A1593">
        <w:rPr>
          <w:sz w:val="24"/>
          <w:szCs w:val="24"/>
          <w:lang w:val="en-US"/>
        </w:rPr>
        <w:t>.</w:t>
      </w:r>
      <w:r w:rsidRPr="006A1593">
        <w:rPr>
          <w:sz w:val="24"/>
          <w:szCs w:val="24"/>
          <w:lang w:val="en-US"/>
        </w:rPr>
        <w:t xml:space="preserve"> </w:t>
      </w:r>
    </w:p>
    <w:p w:rsidR="006100EC" w:rsidRPr="006A1593" w:rsidRDefault="006100EC">
      <w:pPr>
        <w:rPr>
          <w:sz w:val="24"/>
          <w:szCs w:val="24"/>
          <w:lang w:val="en-US"/>
        </w:rPr>
      </w:pPr>
      <w:r w:rsidRPr="006A1593">
        <w:rPr>
          <w:sz w:val="24"/>
          <w:szCs w:val="24"/>
          <w:lang w:val="en-US"/>
        </w:rPr>
        <w:t xml:space="preserve">The majority of </w:t>
      </w:r>
      <w:r w:rsidR="00460669" w:rsidRPr="006A1593">
        <w:rPr>
          <w:sz w:val="24"/>
          <w:szCs w:val="24"/>
          <w:lang w:val="en-US"/>
        </w:rPr>
        <w:t xml:space="preserve">NCCT </w:t>
      </w:r>
      <w:r w:rsidR="00432D89" w:rsidRPr="006A1593">
        <w:rPr>
          <w:sz w:val="24"/>
          <w:szCs w:val="24"/>
          <w:lang w:val="en-US"/>
        </w:rPr>
        <w:t>markers</w:t>
      </w:r>
      <w:r w:rsidR="003C2BC6" w:rsidRPr="006A1593">
        <w:rPr>
          <w:sz w:val="24"/>
          <w:szCs w:val="24"/>
          <w:lang w:val="en-US"/>
        </w:rPr>
        <w:t xml:space="preserve"> </w:t>
      </w:r>
      <w:r w:rsidR="00432D89" w:rsidRPr="006A1593">
        <w:rPr>
          <w:sz w:val="24"/>
          <w:szCs w:val="24"/>
          <w:lang w:val="en-US"/>
        </w:rPr>
        <w:t>have been r</w:t>
      </w:r>
      <w:r w:rsidR="00460669" w:rsidRPr="006A1593">
        <w:rPr>
          <w:sz w:val="24"/>
          <w:szCs w:val="24"/>
          <w:lang w:val="en-US"/>
        </w:rPr>
        <w:t>eported on</w:t>
      </w:r>
      <w:r w:rsidRPr="006A1593">
        <w:rPr>
          <w:sz w:val="24"/>
          <w:szCs w:val="24"/>
          <w:lang w:val="en-US"/>
        </w:rPr>
        <w:t xml:space="preserve"> standard 5-mm thickness</w:t>
      </w:r>
      <w:r w:rsidR="00460669" w:rsidRPr="006A1593">
        <w:rPr>
          <w:sz w:val="24"/>
          <w:szCs w:val="24"/>
          <w:lang w:val="en-US"/>
        </w:rPr>
        <w:t xml:space="preserve"> axial slices and hence can be derived from sequential axial acquisitions. </w:t>
      </w:r>
      <w:r w:rsidRPr="006A1593">
        <w:rPr>
          <w:sz w:val="24"/>
          <w:szCs w:val="24"/>
          <w:lang w:val="en-US"/>
        </w:rPr>
        <w:t xml:space="preserve">Swirl sign should be observed on axial and coronal planes. </w:t>
      </w:r>
      <w:r w:rsidR="00A744D0" w:rsidRPr="006A1593">
        <w:rPr>
          <w:sz w:val="24"/>
          <w:szCs w:val="24"/>
          <w:lang w:val="en-US"/>
        </w:rPr>
        <w:t>Thinner slices (3-mm) and coronal/sagittal reconstructions may help to distinguish hypodensities from partial volume effect.</w:t>
      </w:r>
    </w:p>
    <w:p w:rsidR="00460669" w:rsidRPr="006A1593" w:rsidRDefault="00460669">
      <w:pPr>
        <w:pStyle w:val="Heading1"/>
        <w:rPr>
          <w:rFonts w:ascii="Times New Roman" w:hAnsi="Times New Roman"/>
          <w:sz w:val="24"/>
          <w:szCs w:val="24"/>
          <w:u w:val="none"/>
          <w:lang w:val="en-US"/>
        </w:rPr>
      </w:pPr>
      <w:r w:rsidRPr="006A1593">
        <w:rPr>
          <w:rFonts w:ascii="Times New Roman" w:hAnsi="Times New Roman"/>
          <w:sz w:val="24"/>
          <w:szCs w:val="24"/>
          <w:u w:val="none"/>
          <w:lang w:val="en-US"/>
        </w:rPr>
        <w:t>TERMINOLOGY AND DIAGNOSTIC CRITERIA</w:t>
      </w:r>
    </w:p>
    <w:p w:rsidR="00E26AB2" w:rsidRPr="006A1593" w:rsidRDefault="00E26AB2" w:rsidP="00E26AB2">
      <w:pPr>
        <w:pStyle w:val="NormalWeb"/>
        <w:spacing w:line="360" w:lineRule="auto"/>
        <w:rPr>
          <w:rFonts w:ascii="Times New Roman" w:hAnsi="Times New Roman"/>
          <w:sz w:val="24"/>
          <w:szCs w:val="24"/>
        </w:rPr>
      </w:pPr>
      <w:r w:rsidRPr="006A1593">
        <w:rPr>
          <w:rFonts w:ascii="Times New Roman" w:hAnsi="Times New Roman"/>
          <w:color w:val="23231C"/>
          <w:sz w:val="24"/>
          <w:szCs w:val="24"/>
        </w:rPr>
        <w:t xml:space="preserve">Figure 1 shows an illustrative image of all the NCCT markers described </w:t>
      </w:r>
      <w:r w:rsidR="00041897" w:rsidRPr="006A1593">
        <w:rPr>
          <w:rFonts w:ascii="Times New Roman" w:hAnsi="Times New Roman"/>
          <w:color w:val="23231C"/>
          <w:sz w:val="24"/>
          <w:szCs w:val="24"/>
        </w:rPr>
        <w:t>below</w:t>
      </w:r>
      <w:r w:rsidRPr="006A1593">
        <w:rPr>
          <w:rFonts w:ascii="Times New Roman" w:hAnsi="Times New Roman"/>
          <w:color w:val="23231C"/>
          <w:sz w:val="24"/>
          <w:szCs w:val="24"/>
        </w:rPr>
        <w:t xml:space="preserve"> and table 1 summarizes the </w:t>
      </w:r>
      <w:r w:rsidR="00041897" w:rsidRPr="006A1593">
        <w:rPr>
          <w:rFonts w:ascii="Times New Roman" w:hAnsi="Times New Roman"/>
          <w:color w:val="23231C"/>
          <w:sz w:val="24"/>
          <w:szCs w:val="24"/>
        </w:rPr>
        <w:t xml:space="preserve">suggested </w:t>
      </w:r>
      <w:r w:rsidRPr="006A1593">
        <w:rPr>
          <w:rFonts w:ascii="Times New Roman" w:hAnsi="Times New Roman"/>
          <w:color w:val="23231C"/>
          <w:sz w:val="24"/>
          <w:szCs w:val="24"/>
        </w:rPr>
        <w:t>diagnostic criteria for each marker.</w:t>
      </w:r>
    </w:p>
    <w:p w:rsidR="00460669" w:rsidRPr="006A1593" w:rsidRDefault="00460669">
      <w:pPr>
        <w:pStyle w:val="Heading2"/>
        <w:rPr>
          <w:rFonts w:ascii="Times New Roman" w:hAnsi="Times New Roman"/>
          <w:sz w:val="24"/>
          <w:szCs w:val="24"/>
          <w:u w:val="none"/>
          <w:lang w:val="en-US"/>
        </w:rPr>
      </w:pPr>
      <w:r w:rsidRPr="006A1593">
        <w:rPr>
          <w:rFonts w:ascii="Times New Roman" w:hAnsi="Times New Roman"/>
          <w:sz w:val="24"/>
          <w:szCs w:val="24"/>
          <w:u w:val="none"/>
          <w:lang w:val="en-US"/>
        </w:rPr>
        <w:t>Heterogeneous Density</w:t>
      </w:r>
    </w:p>
    <w:p w:rsidR="00460669" w:rsidRPr="006A1593" w:rsidRDefault="00460669">
      <w:pPr>
        <w:rPr>
          <w:sz w:val="24"/>
          <w:szCs w:val="24"/>
          <w:lang w:val="en-US"/>
        </w:rPr>
      </w:pPr>
      <w:r w:rsidRPr="006A1593">
        <w:rPr>
          <w:sz w:val="24"/>
          <w:szCs w:val="24"/>
          <w:lang w:val="en-US"/>
        </w:rPr>
        <w:t>Heterogeneous density of ICH is defined along an incremental continuum depicted on a five-point visual analog scale.</w:t>
      </w:r>
      <w:r w:rsidR="009134B6" w:rsidRPr="006A1593">
        <w:rPr>
          <w:sz w:val="24"/>
          <w:szCs w:val="24"/>
          <w:lang w:val="en-US"/>
        </w:rPr>
        <w:fldChar w:fldCharType="begin" w:fldLock="1"/>
      </w:r>
      <w:r w:rsidR="00C73B4E" w:rsidRPr="006A1593">
        <w:rPr>
          <w:sz w:val="24"/>
          <w:szCs w:val="24"/>
          <w:lang w:val="en-US"/>
        </w:rPr>
        <w:instrText>ADDIN CSL_CITATION {"citationItems":[{"id":"ITEM-1","itemData":{"DOI":"10.1161/STROKEAHA.108.536888","ISBN":"1524-4628 (Electronic)","ISSN":"00392499","PMID":"19286590","abstract":"BACKGROUND AND PURPOSE: Intracerebral hemorrhage (ICH) growth predicts mortality and functional outcome. We hypothesized that irregular hematoma shape and density heterogeneity, reflecting active, multifocal bleeding or a variable bleeding time course, would predict ICH growth. METHODS: Three raters examined baseline sub-3-hour CT brain scans of 90 patients in the placebo arm of a Phase IIb trial of recombinant activated Factor VII in ICH. Each rater, blinded to growth data, independently applied novel 5-point categorical scales of density and shape to randomly presented baseline CT images of ICH. Density and shape were defined as either homogeneous/regular (Category 1 to 2) or heterogeneous/irregular (Category 3 to 5). Within- and between-rater reliability was determined for these scales. Growth was assessed as a continuous variable and using 3 binary definitions: (1) any ICH growth; (2) &gt;or=33% or &gt;or=12.5 mL ICH growth; and (3) radial growth &gt;1 mm between baseline and 24-hour CT scan. Patients were divided into tertiles of baseline ICH volume: \"small\" (0 to 10 mL), \"medium\" (10 to 25 mL), and \"large\" (25 to 106 mL). RESULTS: Inter- and intrarater agreements for the novel scales exceeded 85% (+/-1 category). Median growth was significantly higher in the large-volume group compared with the small group (P&lt;0.001) and in heterogeneous compared with homogeneous ICH (P=0.008). Median growth trended higher in irregular ICHs compared with regular ICHs (P=0.084). Small ICHs were more regularly shaped (43%) than medium (17%) and large (3%) ICHs (P&lt;0.001). Small ICHs were more homogeneous (73%) compared with medium (37%) and large (17%) ICHs (P&lt;0.001). Adjusting for baseline ICH volume and time to scan, density heterogeneity, but not shape irregularity, independently predicted ICH growth (P=0.046) on a continuous growth scale. CONCLUSIONS: Large ICHs were significantly more irregular in shape, heterogeneous in density, and had greater growth. Density heterogeneity independently predicted ICH growth using some definitions.","author":[{"dropping-particle":"","family":"Barras","given":"Christen D.","non-dropping-particle":"","parse-names":false,"suffix":""},{"dropping-particle":"","family":"Tress","given":"Brian M.","non-dropping-particle":"","parse-names":false,"suffix":""},{"dropping-particle":"","family":"Christensen","given":"Soren","non-dropping-particle":"","parse-names":false,"suffix":""},{"dropping-particle":"","family":"MacGregor","given":"Lachlan","non-dropping-particle":"","parse-names":false,"suffix":""},{"dropping-particle":"","family":"Collins","given":"Mamie","non-dropping-particle":"","parse-names":false,"suffix":""},{"dropping-particle":"","family":"Desmond","given":"Patricia M.","non-dropping-particle":"","parse-names":false,"suffix":""},{"dropping-particle":"","family":"Skolnick","given":"Brett E.","non-dropping-particle":"","parse-names":false,"suffix":""},{"dropping-particle":"","family":"Mayer","given":"Stephan a.","non-dropping-particle":"","parse-names":false,"suffix":""},{"dropping-particle":"","family":"Broderick","given":"Joseph P.","non-dropping-particle":"","parse-names":false,"suffix":""},{"dropping-particle":"","family":"Diringer","given":"Michael N.","non-dropping-particle":"","parse-names":false,"suffix":""},{"dropping-particle":"","family":"Steiner","given":"Thorsten","non-dropping-particle":"","parse-names":false,"suffix":""},{"dropping-particle":"","family":"Davis","given":"Stephen M.","non-dropping-particle":"","parse-names":false,"suffix":""}],"container-title":"Stroke","id":"ITEM-1","issue":"4","issued":{"date-parts":[["2009"]]},"page":"1325-1331","title":"Density and shape as CT predictors of intracerebral hemorrhage growth","type":"article-journal","volume":"40"},"uris":["http://www.mendeley.com/documents/?uuid=8c77d5c1-4c1c-4ba6-8c88-bb0134498ac2"]}],"mendeley":{"formattedCitation":"&lt;sup&gt;22&lt;/sup&gt;","plainTextFormattedCitation":"22","previouslyFormattedCitation":"&lt;sup&gt;22&lt;/sup&gt;"},"properties":{"noteIndex":0},"schema":"https://github.com/citation-style-language/schema/raw/master/csl-citation.json"}</w:instrText>
      </w:r>
      <w:r w:rsidR="009134B6" w:rsidRPr="006A1593">
        <w:rPr>
          <w:sz w:val="24"/>
          <w:szCs w:val="24"/>
          <w:lang w:val="en-US"/>
        </w:rPr>
        <w:fldChar w:fldCharType="separate"/>
      </w:r>
      <w:r w:rsidR="00C73B4E" w:rsidRPr="006A1593">
        <w:rPr>
          <w:noProof/>
          <w:sz w:val="24"/>
          <w:szCs w:val="24"/>
          <w:vertAlign w:val="superscript"/>
          <w:lang w:val="en-US"/>
        </w:rPr>
        <w:t>22</w:t>
      </w:r>
      <w:r w:rsidR="009134B6" w:rsidRPr="006A1593">
        <w:rPr>
          <w:sz w:val="24"/>
          <w:szCs w:val="24"/>
          <w:lang w:val="en-US"/>
        </w:rPr>
        <w:fldChar w:fldCharType="end"/>
      </w:r>
      <w:r w:rsidRPr="006A1593">
        <w:rPr>
          <w:sz w:val="24"/>
          <w:szCs w:val="24"/>
          <w:lang w:val="en-US"/>
        </w:rPr>
        <w:t xml:space="preserve"> For descriptive purposes, ICH are described as ‘heterogeneous’ when there are at least three foci of hypodensity within the hyperdense hematoma, assessed on the axial slice showing the largest cross-sectional area of hematoma (Barras density scale of III,IV and V). </w:t>
      </w:r>
    </w:p>
    <w:p w:rsidR="00854903" w:rsidRPr="006A1593" w:rsidRDefault="00854903" w:rsidP="00854903">
      <w:pPr>
        <w:pStyle w:val="Heading2"/>
        <w:rPr>
          <w:rFonts w:ascii="Times New Roman" w:hAnsi="Times New Roman"/>
          <w:sz w:val="24"/>
          <w:szCs w:val="24"/>
          <w:u w:val="none"/>
          <w:lang w:val="en-US"/>
        </w:rPr>
      </w:pPr>
      <w:r w:rsidRPr="006A1593">
        <w:rPr>
          <w:rFonts w:ascii="Times New Roman" w:hAnsi="Times New Roman"/>
          <w:sz w:val="24"/>
          <w:szCs w:val="24"/>
          <w:u w:val="none"/>
          <w:lang w:val="en-US"/>
        </w:rPr>
        <w:t>Swirl Sign</w:t>
      </w:r>
    </w:p>
    <w:p w:rsidR="00854903" w:rsidRPr="006A1593" w:rsidRDefault="00854903" w:rsidP="00854903">
      <w:pPr>
        <w:rPr>
          <w:rFonts w:eastAsia="Times New Roman"/>
          <w:color w:val="333333"/>
          <w:sz w:val="24"/>
          <w:szCs w:val="24"/>
          <w:shd w:val="clear" w:color="auto" w:fill="FFFFFF"/>
          <w:lang w:val="en-US"/>
        </w:rPr>
      </w:pPr>
      <w:r w:rsidRPr="006A1593">
        <w:rPr>
          <w:sz w:val="24"/>
          <w:szCs w:val="24"/>
          <w:lang w:val="en-US"/>
        </w:rPr>
        <w:t>The swirl sign can be defined as the presence of one or more rounded, streak-like or irregular regions of hypoattenuation or isoattenuation (compared to the attenuation of brain parenchyma) within the hemorrhage.</w:t>
      </w:r>
      <w:r w:rsidR="009134B6" w:rsidRPr="006A1593">
        <w:rPr>
          <w:sz w:val="24"/>
          <w:szCs w:val="24"/>
          <w:lang w:val="en-US"/>
        </w:rPr>
        <w:fldChar w:fldCharType="begin" w:fldLock="1"/>
      </w:r>
      <w:r w:rsidR="00C73B4E" w:rsidRPr="006A1593">
        <w:rPr>
          <w:sz w:val="24"/>
          <w:szCs w:val="24"/>
          <w:lang w:val="en-US"/>
        </w:rPr>
        <w:instrText>ADDIN CSL_CITATION {"citationItems":[{"id":"ITEM-1","itemData":{"DOI":"10.1186/1471-2377-12-109","ISSN":"1471-2377","abstract":"Swirl sign has previously been described in epidural hematomas as areas of low attenuation, radiolucency or irregular density. The aims of this study were to describe swirl sign in ICH, study its prevalence, study the reliability of the subjective evaluation on computed tomography (CT), and to explore its prognostic value.","author":[{"dropping-particle":"","family":"Selariu","given":"Eufrozina","non-dropping-particle":"","parse-names":false,"suffix":""},{"dropping-particle":"","family":"Zia","given":"Elisabet","non-dropping-particle":"","parse-names":false,"suffix":""},{"dropping-particle":"","family":"Brizzi","given":"Marco","non-dropping-particle":"","parse-names":false,"suffix":""},{"dropping-particle":"","family":"Abul-Kasim","given":"Kasim","non-dropping-particle":"","parse-names":false,"suffix":""}],"container-title":"BMC Neurology","id":"ITEM-1","issue":"1","issued":{"date-parts":[["2012","9"]]},"language":"en","page":"109","title":"Swirl sign in intracerebral haemorrhage: definition, prevalence, reliability and prognostic value","type":"article-journal","volume":"12"},"uris":["http://www.mendeley.com/documents/?uuid=6042d46f-0dc0-4d8b-9f93-3fd6bf4e3dba"]},{"id":"ITEM-2","itemData":{"DOI":"10.3174/ajnr.A5465","ISSN":"1936959X","PMID":"29217744","abstract":"BACKGROUND AND PURPOSE Hematoma expansion is an independent determinant of poor clinical outcome in intracerebral hemorrhage. Although the \"spot sign\" predicts hematoma expansion, the identification requires CT angiography, which limits its general accessibility in some hospital settings. Noncontrast CT, without the need for CT angiography, may identify sites of active extravasation, termed the \"swirl sign.\" We aimed to determine the association of the swirl sign with hematoma expansion. MATERIALS AND METHODS Patients with spontaneous intracerebral hemorrhage between 2007 and 2014 who underwent an initial and subsequent noncontrast CT at a single center were retrospectively identified. The swirl sign, on noncontrast CT, was defined as iso- or hypodensity within a hyperdense region that extended across 2 contiguous 5-mm axial CT sections. RESULTS A total of 212 patients met the inclusion criteria. The swirl sign was identified in 91 patients with excellent interobserver agreement (κ = 0.87). The swirl sign was associated with larger initial hematoma (P &lt; .001) and earlier initial CT (P &lt; .001) and hematoma expansion (P = .028). Multivariable regression modeling demonstrated that if one assumed similar initial hematoma volume, onset-to-first scan, and time between CT scans, the median absolute hematoma growth was 5.77 mL (95% CI, 2.37-9.18 mL; P = .001) and relative growth was 35.6% (95% CI, 18.5%-52.6%; P &lt; .001) higher in patients with the swirl sign compared with those without. CONCLUSIONS The NCCT swirl sign was reliably identified and is associated with hematoma expansion. We propose that the swirl sign be included in risk stratification of intracerebral hemorrhage and considered for inclusion in clinical trials.","author":[{"dropping-particle":"","family":"Ng","given":"D.","non-dropping-particle":"","parse-names":false,"suffix":""},{"dropping-particle":"","family":"Churilov","given":"L.","non-dropping-particle":"","parse-names":false,"suffix":""},{"dropping-particle":"","family":"Mitchell","given":"P.","non-dropping-particle":"","parse-names":false,"suffix":""},{"dropping-particle":"","family":"Dowling","given":"R.","non-dropping-particle":"","parse-names":false,"suffix":""},{"dropping-particle":"","family":"Yan","given":"B.","non-dropping-particle":"","parse-names":false,"suffix":""}],"container-title":"American Journal of Neuroradiology","id":"ITEM-2","issue":"2","issued":{"date-parts":[["2018"]]},"page":"232-237","title":"The CT Swirl Sign Is Associated with Hematoma Expansion in Intracerebral Hemorrhage","type":"article-journal","volume":"39"},"uris":["http://www.mendeley.com/documents/?uuid=741cbdc6-17b9-4b2d-9725-682a888ea7d5"]}],"mendeley":{"formattedCitation":"&lt;sup&gt;23,24&lt;/sup&gt;","plainTextFormattedCitation":"23,24","previouslyFormattedCitation":"&lt;sup&gt;23,24&lt;/sup&gt;"},"properties":{"noteIndex":0},"schema":"https://github.com/citation-style-language/schema/raw/master/csl-citation.json"}</w:instrText>
      </w:r>
      <w:r w:rsidR="009134B6" w:rsidRPr="006A1593">
        <w:rPr>
          <w:sz w:val="24"/>
          <w:szCs w:val="24"/>
          <w:lang w:val="en-US"/>
        </w:rPr>
        <w:fldChar w:fldCharType="separate"/>
      </w:r>
      <w:r w:rsidR="00C73B4E" w:rsidRPr="006A1593">
        <w:rPr>
          <w:noProof/>
          <w:sz w:val="24"/>
          <w:szCs w:val="24"/>
          <w:vertAlign w:val="superscript"/>
          <w:lang w:val="en-US"/>
        </w:rPr>
        <w:t>23,24</w:t>
      </w:r>
      <w:r w:rsidR="009134B6" w:rsidRPr="006A1593">
        <w:rPr>
          <w:sz w:val="24"/>
          <w:szCs w:val="24"/>
          <w:lang w:val="en-US"/>
        </w:rPr>
        <w:fldChar w:fldCharType="end"/>
      </w:r>
      <w:r w:rsidRPr="006A1593">
        <w:rPr>
          <w:sz w:val="24"/>
          <w:szCs w:val="24"/>
          <w:lang w:val="en-US"/>
        </w:rPr>
        <w:t xml:space="preserve"> </w:t>
      </w:r>
      <w:r w:rsidRPr="006A1593">
        <w:rPr>
          <w:rFonts w:eastAsia="Times New Roman"/>
          <w:sz w:val="24"/>
          <w:szCs w:val="24"/>
          <w:shd w:val="clear" w:color="auto" w:fill="FFFFFF"/>
          <w:lang w:val="en-US"/>
        </w:rPr>
        <w:t xml:space="preserve">The swirl sign is not necessarily encapsulated within the bleeding margins and can connect with the </w:t>
      </w:r>
      <w:r w:rsidR="00091FD6" w:rsidRPr="006A1593">
        <w:rPr>
          <w:rFonts w:eastAsia="Times New Roman"/>
          <w:sz w:val="24"/>
          <w:szCs w:val="24"/>
          <w:shd w:val="clear" w:color="auto" w:fill="FFFFFF"/>
          <w:lang w:val="en-US"/>
        </w:rPr>
        <w:t xml:space="preserve">surrounding </w:t>
      </w:r>
      <w:r w:rsidRPr="006A1593">
        <w:rPr>
          <w:rFonts w:eastAsia="Times New Roman"/>
          <w:sz w:val="24"/>
          <w:szCs w:val="24"/>
          <w:shd w:val="clear" w:color="auto" w:fill="FFFFFF"/>
          <w:lang w:val="en-US"/>
        </w:rPr>
        <w:t xml:space="preserve">brain structures. The identification of a swirl sign is based on visual inspection of the scan and does not require </w:t>
      </w:r>
      <w:r w:rsidR="00021E52" w:rsidRPr="006A1593">
        <w:rPr>
          <w:rFonts w:eastAsia="Times New Roman"/>
          <w:sz w:val="24"/>
          <w:szCs w:val="24"/>
          <w:shd w:val="clear" w:color="auto" w:fill="FFFFFF"/>
          <w:lang w:val="en-US"/>
        </w:rPr>
        <w:t>quantified attenuation values</w:t>
      </w:r>
      <w:r w:rsidRPr="006A1593">
        <w:rPr>
          <w:rFonts w:eastAsia="Times New Roman"/>
          <w:sz w:val="24"/>
          <w:szCs w:val="24"/>
          <w:shd w:val="clear" w:color="auto" w:fill="FFFFFF"/>
          <w:lang w:val="en-US"/>
        </w:rPr>
        <w:t xml:space="preserve"> of the hypodense region.</w:t>
      </w:r>
      <w:r w:rsidR="00A744D0" w:rsidRPr="006A1593">
        <w:rPr>
          <w:rFonts w:eastAsia="Times New Roman"/>
          <w:sz w:val="24"/>
          <w:szCs w:val="24"/>
          <w:shd w:val="clear" w:color="auto" w:fill="FFFFFF"/>
          <w:lang w:val="en-US"/>
        </w:rPr>
        <w:t xml:space="preserve"> This sign shou</w:t>
      </w:r>
      <w:r w:rsidR="00E541D5" w:rsidRPr="006A1593">
        <w:rPr>
          <w:rFonts w:eastAsia="Times New Roman"/>
          <w:sz w:val="24"/>
          <w:szCs w:val="24"/>
          <w:shd w:val="clear" w:color="auto" w:fill="FFFFFF"/>
          <w:lang w:val="en-US"/>
        </w:rPr>
        <w:t>l</w:t>
      </w:r>
      <w:r w:rsidR="00A744D0" w:rsidRPr="006A1593">
        <w:rPr>
          <w:rFonts w:eastAsia="Times New Roman"/>
          <w:sz w:val="24"/>
          <w:szCs w:val="24"/>
          <w:shd w:val="clear" w:color="auto" w:fill="FFFFFF"/>
          <w:lang w:val="en-US"/>
        </w:rPr>
        <w:t>d be observed on axial and coronal images.</w:t>
      </w:r>
    </w:p>
    <w:p w:rsidR="00854903" w:rsidRPr="006A1593" w:rsidRDefault="00854903" w:rsidP="00854903">
      <w:pPr>
        <w:pStyle w:val="Heading2"/>
        <w:rPr>
          <w:rFonts w:ascii="Times New Roman" w:hAnsi="Times New Roman"/>
          <w:sz w:val="24"/>
          <w:szCs w:val="24"/>
          <w:u w:val="none"/>
          <w:lang w:val="en-US"/>
        </w:rPr>
      </w:pPr>
      <w:r w:rsidRPr="006A1593">
        <w:rPr>
          <w:rFonts w:ascii="Times New Roman" w:hAnsi="Times New Roman"/>
          <w:sz w:val="24"/>
          <w:szCs w:val="24"/>
          <w:u w:val="none"/>
          <w:lang w:val="en-US"/>
        </w:rPr>
        <w:t>Hypodensities</w:t>
      </w:r>
    </w:p>
    <w:p w:rsidR="00854903" w:rsidRPr="006A1593" w:rsidRDefault="00854903" w:rsidP="00854903">
      <w:pPr>
        <w:rPr>
          <w:sz w:val="24"/>
          <w:szCs w:val="24"/>
          <w:lang w:val="en-US"/>
        </w:rPr>
      </w:pPr>
      <w:r w:rsidRPr="006A1593">
        <w:rPr>
          <w:sz w:val="24"/>
          <w:szCs w:val="24"/>
          <w:lang w:val="en-US"/>
        </w:rPr>
        <w:t>Hypodensities are defined as any hypodense region (compared with the surrounding acute blood) encapsulated within the hemorrhage and lacking a clear connection with the brain parenchyma around the bleeding.</w:t>
      </w:r>
      <w:r w:rsidR="009134B6" w:rsidRPr="006A1593">
        <w:rPr>
          <w:sz w:val="24"/>
          <w:szCs w:val="24"/>
          <w:lang w:val="en-US"/>
        </w:rPr>
        <w:fldChar w:fldCharType="begin" w:fldLock="1"/>
      </w:r>
      <w:r w:rsidR="00C73B4E" w:rsidRPr="006A1593">
        <w:rPr>
          <w:sz w:val="24"/>
          <w:szCs w:val="24"/>
          <w:lang w:val="en-US"/>
        </w:rPr>
        <w:instrText>ADDIN CSL_CITATION {"citationItems":[{"id":"ITEM-1","itemData":{"DOI":"10.1001/jamaneurol.2016.1218","ISSN":"2168-6157","PMID":"27323314","abstract":"Importance Hematoma expansion is a potentially modifiable predictor of poor outcome following an acute intracerebral hemorrhage (ICH). The ability to identify patients with ICH who are likeliest to experience hematoma expansion and therefore likeliest to benefit from expansion-targeted treatments remains an unmet need. Hypodensities within an ICH detected by noncontrast computed tomography (NCCT) have been suggested as a predictor of hematoma expansion. Objective To determine whether hypodense regions, irrespective of their specific patterns, are associated with hematoma expansion in patients with ICH. Design, Setting, and Participants We analyzed a large cohort of 784 patients with ICH (the development cohort; 55.6% female), examined NCCT findings for any hypodensity, and replicated our findings on a different cohort of patients (the replication cohort; 52.7% female). Baseline and follow-up NCCT data from consecutive patients with ICH presenting to a tertiary care hospital between 1994 and 2015 were retrospectively analyzed. Data analyses were performed between December 2015 and January 2016. Main Outcomes and Measures Hypodensities were analyzed by 2 independent blinded raters. The association between hypodensities and hematoma expansion (&gt;6 cm3 or 33% of baseline volume) was determined by multivariable logistic regression after controlling for other variables associated with hematoma expansion in univariate analyses with P </w:instrText>
      </w:r>
      <w:r w:rsidR="00C73B4E" w:rsidRPr="006A1593">
        <w:rPr>
          <w:rFonts w:hint="eastAsia"/>
          <w:sz w:val="24"/>
          <w:szCs w:val="24"/>
          <w:lang w:val="en-US"/>
        </w:rPr>
        <w:instrText>≤</w:instrText>
      </w:r>
      <w:r w:rsidR="00C73B4E" w:rsidRPr="006A1593">
        <w:rPr>
          <w:sz w:val="24"/>
          <w:szCs w:val="24"/>
          <w:lang w:val="en-US"/>
        </w:rPr>
        <w:instrText> .10. Results A total of 1029 patients were included in the analysis. In the development and replication cohorts, 222 of 784 patients (28.3%) and 99 of 245 patients (40.4%; 321 of 1029 patients [31.2%]), respectively, had NCCT scans that demonstrated hypodensities at baseline (κ = 0.87 for interrater reliability). In univariate analyses, hypodensities were associated with hematoma expansion (86 of 163 patients with hematoma expansion had hypodensities [52.8%], whereas 136 of 621 patients without hematoma expansion had hypodensities [21.9%]; P &lt; .001). The association between hypodensities and hematoma expansion remained significant (odds ratio, 3.42 [95% CI, 2.21-5.31]; P &lt; .001) in a multivariable model; other independent predictors of hematoma expansion were a CT angiography spot sign, a shorter time to CT, warfarin use, and older age. The independent predictive value of hypodensities was again demonstrated in the replication cohort (odds ratio, 4.37 [95% CI, 2.05-9.62]; P &lt; .001). Conclusion and Relevance Hypodensities within a…","author":[{"dropping-particle":"","family":"Boulouis","given":"Gregoire","non-dropping-particle":"","parse-names":false,"suffix":""},{"dropping-particle":"","family":"Morotti","given":"Andrea","non-dropping-particle":"","parse-names":false,"suffix":""},{"dropping-particle":"","family":"Brouwers","given":"H Bart","non-dropping-particle":"","parse-names":false,"suffix":""},{"dropping-particle":"","family":"Charidimou","given":"Andreas","non-dropping-particle":"","parse-names":false,"suffix":""},{"dropping-particle":"","family":"Jessel","given":"Michael J","non-dropping-particle":"","parse-names":false,"suffix":""},{"dropping-particle":"","family":"Auriel","given":"Eitan","non-dropping-particle":"","parse-names":false,"suffix":""},{"dropping-particle":"","family":"Pontes-Neto","given":"Octávio","non-dropping-particle":"","parse-names":false,"suffix":""},{"dropping-particle":"","family":"Ayres","given":"Alison","non-dropping-particle":"","parse-names":false,"suffix":""},{"dropping-particle":"","family":"Vashkevich","given":"Anastasia","non-dropping-particle":"","parse-names":false,"suffix":""},{"dropping-particle":"","family":"Schwab","given":"Kristin M","non-dropping-particle":"","parse-names":false,"suffix":""},{"dropping-particle":"","family":"Rosand","given":"Jonathan","non-dropping-particle":"","parse-names":false,"suffix":""},{"dropping-particle":"","family":"Viswanathan","given":"Anand","non-dropping-particle":"","parse-names":false,"suffix":""},{"dropping-particle":"","family":"Gurol","given":"Mahmut E","non-dropping-particle":"","parse-names":false,"suffix":""},{"dropping-particle":"","family":"Greenberg","given":"Steven M","non-dropping-particle":"","parse-names":false,"suffix":""},{"dropping-particle":"","family":"Goldstein","given":"Joshua N","non-dropping-particle":"","parse-names":false,"suffix":""}],"container-title":"JAMA neurology","id":"ITEM-1","issued":{"date-parts":[["2016","6","20"]]},"title":"Association Between Hypodensities Detected by Computed Tomography and Hematoma Expansion in Patients With Intracerebral Hemorrhage.","type":"article-journal"},"uris":["http://www.mendeley.com/documents/?uuid=dbc1b3fc-9435-332e-92d1-c806c522acd0"]},{"id":"ITEM-2","itemData":{"DOI":"10.1161/STROKEAHA.116.014425","ISSN":"15244628","abstract":"© 2016 American Heart Association, Inc. Background and Purpose - Noncontrast computed tomographic (CT) hypodensities have been shown to be associated with hematoma expansion in intracerebral hemorrhage (ICH), but their impact on functional outcome is yet to be determined. We evaluated whether baseline noncontrast CT hypodensities are associated with poor clinical outcome. Methods - We performed a retrospective review of a prospectively collected cohort of consecutive patients with primary ICH presenting to a single academic medical center between 1994 and 2016. The presence of CT hypodensities was assessed by 2 independent raters on the baseline CT. Unfavorable outcome was defined as a modified Rankin score  &gt; 3 at 90 days. The associations between CT hypodensities and unfavorable outcome were investigated using uni- and multivariable logistic regression models. Results - During the study period, 1342 patients presented with ICH and 800 met restrictive inclusion criteria (baseline CT available for review, and 90-day outcome available). Three hundred and four (38%) patients showed hypodensities on CT, and 520 (65%) patients experienced unfavorable outcome. In univariate analysis, patients with unfavorable outcome were more likely to demonstrate hypodensities (48% versus 20%; P &lt; 0.0001). After adjustment for age, admission Glasgow coma scale, warfarin use, intraventricular hemorrhage, baseline ICH volume, and location, CT hypodensities were found to be independently associated with an increase in the odds of unfavorable outcome (odds ratio 1.70, 95% confidence interval [1.10-2.65]; P=0.018). Conclusions - The presence of noncontract CT hypodensities at baseline independently predicts poor outcome and comes as a useful and widely available addition to our ability to predict ICH patients' clinical evolution.","author":[{"dropping-particle":"","family":"Boulouis","given":"G.","non-dropping-particle":"","parse-names":false,"suffix":""},{"dropping-particle":"","family":"Morotti","given":"A.","non-dropping-particle":"","parse-names":false,"suffix":""},{"dropping-particle":"","family":"Brouwers","given":"H.B.","non-dropping-particle":"","parse-names":false,"suffix":""},{"dropping-particle":"","family":"Charidimou","given":"A.","non-dropping-particle":"","parse-names":false,"suffix":""},{"dropping-particle":"","family":"Jessel","given":"M.J.","non-dropping-particle":"","parse-names":false,"suffix":""},{"dropping-particle":"","family":"Auriel","given":"E.","non-dropping-particle":"","parse-names":false,"suffix":""},{"dropping-particle":"","family":"Pontes-Neto","given":"O.","non-dropping-particle":"","parse-names":false,"suffix":""},{"dropping-particle":"","family":"Ayres","given":"A.","non-dropping-particle":"","parse-names":false,"suffix":""},{"dropping-particle":"","family":"Vashkevich","given":"A.","non-dropping-particle":"","parse-names":false,"suffix":""},{"dropping-particle":"","family":"Schwab","given":"K.M.","non-dropping-particle":"","parse-names":false,"suffix":""},{"dropping-particle":"","family":"Rosand","given":"J.","non-dropping-particle":"","parse-names":false,"suffix":""},{"dropping-particle":"","family":"Viswanathan","given":"A.","non-dropping-particle":"","parse-names":false,"suffix":""},{"dropping-particle":"","family":"Gurol","given":"M.E.","non-dropping-particle":"","parse-names":false,"suffix":""},{"dropping-particle":"","family":"Greenberg","given":"S.M.","non-dropping-particle":"","parse-names":false,"suffix":""},{"dropping-particle":"","family":"Goldstein","given":"J.N.","non-dropping-particle":"","parse-names":false,"suffix":""}],"container-title":"Stroke","id":"ITEM-2","issue":"10","issued":{"date-parts":[["2016"]]},"title":"Noncontrast Computed Tomography Hypodensities Predict Poor Outcome in Intracerebral Hemorrhage Patients","type":"article-journal","volume":"47"},"uris":["http://www.mendeley.com/documents/?uuid=d3886099-d926-3458-96fe-c76145abe99b"]}],"mendeley":{"formattedCitation":"&lt;sup&gt;25,26&lt;/sup&gt;","plainTextFormattedCitation":"25,26","previouslyFormattedCitation":"&lt;sup&gt;25,26&lt;/sup&gt;"},"properties":{"noteIndex":0},"schema":"https://github.com/citation-style-language/schema/raw/master/csl-citation.json"}</w:instrText>
      </w:r>
      <w:r w:rsidR="009134B6" w:rsidRPr="006A1593">
        <w:rPr>
          <w:sz w:val="24"/>
          <w:szCs w:val="24"/>
          <w:lang w:val="en-US"/>
        </w:rPr>
        <w:fldChar w:fldCharType="separate"/>
      </w:r>
      <w:r w:rsidR="00C73B4E" w:rsidRPr="006A1593">
        <w:rPr>
          <w:noProof/>
          <w:sz w:val="24"/>
          <w:szCs w:val="24"/>
          <w:vertAlign w:val="superscript"/>
          <w:lang w:val="en-US"/>
        </w:rPr>
        <w:t>25,26</w:t>
      </w:r>
      <w:r w:rsidR="009134B6" w:rsidRPr="006A1593">
        <w:rPr>
          <w:sz w:val="24"/>
          <w:szCs w:val="24"/>
          <w:lang w:val="en-US"/>
        </w:rPr>
        <w:fldChar w:fldCharType="end"/>
      </w:r>
      <w:r w:rsidRPr="006A1593">
        <w:rPr>
          <w:sz w:val="24"/>
          <w:szCs w:val="24"/>
          <w:lang w:val="en-US"/>
        </w:rPr>
        <w:t xml:space="preserve"> Hypodensities can have any shape and dimension with clear-cut or poorly defined margins. Their detection should rely on visual inspection of axial NCCT images and does not require objective quantification of the attenuation values in HU. </w:t>
      </w:r>
      <w:r w:rsidR="00B04EFB" w:rsidRPr="006A1593">
        <w:rPr>
          <w:sz w:val="24"/>
          <w:szCs w:val="24"/>
          <w:lang w:val="en-US"/>
        </w:rPr>
        <w:t>T</w:t>
      </w:r>
      <w:r w:rsidRPr="006A1593">
        <w:rPr>
          <w:sz w:val="24"/>
          <w:szCs w:val="24"/>
          <w:lang w:val="en-US"/>
        </w:rPr>
        <w:t>h</w:t>
      </w:r>
      <w:r w:rsidR="00B04EFB" w:rsidRPr="006A1593">
        <w:rPr>
          <w:sz w:val="24"/>
          <w:szCs w:val="24"/>
          <w:lang w:val="en-US"/>
        </w:rPr>
        <w:t>ere is</w:t>
      </w:r>
      <w:r w:rsidRPr="006A1593">
        <w:rPr>
          <w:sz w:val="24"/>
          <w:szCs w:val="24"/>
          <w:lang w:val="en-US"/>
        </w:rPr>
        <w:t xml:space="preserve"> no evidence that greater density reduction or specific patterns of hypodensit</w:t>
      </w:r>
      <w:r w:rsidR="00B04EFB" w:rsidRPr="006A1593">
        <w:rPr>
          <w:sz w:val="24"/>
          <w:szCs w:val="24"/>
          <w:lang w:val="en-US"/>
        </w:rPr>
        <w:t>ies correlate</w:t>
      </w:r>
      <w:r w:rsidRPr="006A1593">
        <w:rPr>
          <w:sz w:val="24"/>
          <w:szCs w:val="24"/>
          <w:lang w:val="en-US"/>
        </w:rPr>
        <w:t xml:space="preserve"> with </w:t>
      </w:r>
      <w:r w:rsidR="0060278D" w:rsidRPr="006A1593">
        <w:rPr>
          <w:sz w:val="24"/>
          <w:szCs w:val="24"/>
          <w:lang w:val="en-US"/>
        </w:rPr>
        <w:t>HE</w:t>
      </w:r>
      <w:r w:rsidRPr="006A1593">
        <w:rPr>
          <w:sz w:val="24"/>
          <w:szCs w:val="24"/>
          <w:lang w:val="en-US"/>
        </w:rPr>
        <w:t>.</w:t>
      </w:r>
      <w:r w:rsidR="009134B6" w:rsidRPr="006A1593">
        <w:rPr>
          <w:sz w:val="24"/>
          <w:szCs w:val="24"/>
          <w:lang w:val="en-US"/>
        </w:rPr>
        <w:fldChar w:fldCharType="begin" w:fldLock="1"/>
      </w:r>
      <w:r w:rsidR="00C73B4E" w:rsidRPr="006A1593">
        <w:rPr>
          <w:sz w:val="24"/>
          <w:szCs w:val="24"/>
          <w:lang w:val="en-US"/>
        </w:rPr>
        <w:instrText>ADDIN CSL_CITATION {"citationItems":[{"id":"ITEM-1","itemData":{"DOI":"10.1001/jamaneurol.2016.1218","ISSN":"2168-6157","PMID":"27323314","abstract":"Importance Hematoma expansion is a potentially modifiable predictor of poor outcome following an acute intracerebral hemorrhage (ICH). The ability to identify patients with ICH who are likeliest to experience hematoma expansion and therefore likeliest to benefit from expansion-targeted treatments remains an unmet need. Hypodensities within an ICH detected by noncontrast computed tomography (NCCT) have been suggested as a predictor of hematoma expansion. Objective To determine whether hypodense regions, irrespective of their specific patterns, are associated with hematoma expansion in patients with ICH. Design, Setting, and Participants We analyzed a large cohort of 784 patients with ICH (the development cohort; 55.6% female), examined NCCT findings for any hypodensity, and replicated our findings on a different cohort of patients (the replication cohort; 52.7% female). Baseline and follow-up NCCT data from consecutive patients with ICH presenting to a tertiary care hospital between 1994 and 2015 were retrospectively analyzed. Data analyses were performed between December 2015 and January 2016. Main Outcomes and Measures Hypodensities were analyzed by 2 independent blinded raters. The association between hypodensities and hematoma expansion (&gt;6 cm3 or 33% of baseline volume) was determined by multivariable logistic regression after controlling for other variables associated with hematoma expansion in univariate analyses with P </w:instrText>
      </w:r>
      <w:r w:rsidR="00C73B4E" w:rsidRPr="006A1593">
        <w:rPr>
          <w:rFonts w:hint="eastAsia"/>
          <w:sz w:val="24"/>
          <w:szCs w:val="24"/>
          <w:lang w:val="en-US"/>
        </w:rPr>
        <w:instrText>≤</w:instrText>
      </w:r>
      <w:r w:rsidR="00C73B4E" w:rsidRPr="006A1593">
        <w:rPr>
          <w:sz w:val="24"/>
          <w:szCs w:val="24"/>
          <w:lang w:val="en-US"/>
        </w:rPr>
        <w:instrText> .10. Results A total of 1029 patients were included in the analysis. In the development and replication cohorts, 222 of 784 patients (28.3%) and 99 of 245 patients (40.4%; 321 of 1029 patients [31.2%]), respectively, had NCCT scans that demonstrated hypodensities at baseline (κ = 0.87 for interrater reliability). In univariate analyses, hypodensities were associated with hematoma expansion (86 of 163 patients with hematoma expansion had hypodensities [52.8%], whereas 136 of 621 patients without hematoma expansion had hypodensities [21.9%]; P &lt; .001). The association between hypodensities and hematoma expansion remained significant (odds ratio, 3.42 [95% CI, 2.21-5.31]; P &lt; .001) in a multivariable model; other independent predictors of hematoma expansion were a CT angiography spot sign, a shorter time to CT, warfarin use, and older age. The independent predictive value of hypodensities was again demonstrated in the replication cohort (odds ratio, 4.37 [95% CI, 2.05-9.62]; P &lt; .001). Conclusion and Relevance Hypodensities within a…","author":[{"dropping-particle":"","family":"Boulouis","given":"Gregoire","non-dropping-particle":"","parse-names":false,"suffix":""},{"dropping-particle":"","family":"Morotti","given":"Andrea","non-dropping-particle":"","parse-names":false,"suffix":""},{"dropping-particle":"","family":"Brouwers","given":"H Bart","non-dropping-particle":"","parse-names":false,"suffix":""},{"dropping-particle":"","family":"Charidimou","given":"Andreas","non-dropping-particle":"","parse-names":false,"suffix":""},{"dropping-particle":"","family":"Jessel","given":"Michael J","non-dropping-particle":"","parse-names":false,"suffix":""},{"dropping-particle":"","family":"Auriel","given":"Eitan","non-dropping-particle":"","parse-names":false,"suffix":""},{"dropping-particle":"","family":"Pontes-Neto","given":"Octávio","non-dropping-particle":"","parse-names":false,"suffix":""},{"dropping-particle":"","family":"Ayres","given":"Alison","non-dropping-particle":"","parse-names":false,"suffix":""},{"dropping-particle":"","family":"Vashkevich","given":"Anastasia","non-dropping-particle":"","parse-names":false,"suffix":""},{"dropping-particle":"","family":"Schwab","given":"Kristin M","non-dropping-particle":"","parse-names":false,"suffix":""},{"dropping-particle":"","family":"Rosand","given":"Jonathan","non-dropping-particle":"","parse-names":false,"suffix":""},{"dropping-particle":"","family":"Viswanathan","given":"Anand","non-dropping-particle":"","parse-names":false,"suffix":""},{"dropping-particle":"","family":"Gurol","given":"Mahmut E","non-dropping-particle":"","parse-names":false,"suffix":""},{"dropping-particle":"","family":"Greenberg","given":"Steven M","non-dropping-particle":"","parse-names":false,"suffix":""},{"dropping-particle":"","family":"Goldstein","given":"Joshua N","non-dropping-particle":"","parse-names":false,"suffix":""}],"container-title":"JAMA neurology","id":"ITEM-1","issued":{"date-parts":[["2016","6","20"]]},"title":"Association Between Hypodensities Detected by Computed Tomography and Hematoma Expansion in Patients With Intracerebral Hemorrhage.","type":"article-journal"},"uris":["http://www.mendeley.com/documents/?uuid=dbc1b3fc-9435-332e-92d1-c806c522acd0"]}],"mendeley":{"formattedCitation":"&lt;sup&gt;25&lt;/sup&gt;","plainTextFormattedCitation":"25","previouslyFormattedCitation":"&lt;sup&gt;25&lt;/sup&gt;"},"properties":{"noteIndex":0},"schema":"https://github.com/citation-style-language/schema/raw/master/csl-citation.json"}</w:instrText>
      </w:r>
      <w:r w:rsidR="009134B6" w:rsidRPr="006A1593">
        <w:rPr>
          <w:sz w:val="24"/>
          <w:szCs w:val="24"/>
          <w:lang w:val="en-US"/>
        </w:rPr>
        <w:fldChar w:fldCharType="separate"/>
      </w:r>
      <w:r w:rsidR="00C73B4E" w:rsidRPr="006A1593">
        <w:rPr>
          <w:noProof/>
          <w:sz w:val="24"/>
          <w:szCs w:val="24"/>
          <w:vertAlign w:val="superscript"/>
          <w:lang w:val="en-US"/>
        </w:rPr>
        <w:t>25</w:t>
      </w:r>
      <w:r w:rsidR="009134B6" w:rsidRPr="006A1593">
        <w:rPr>
          <w:sz w:val="24"/>
          <w:szCs w:val="24"/>
          <w:lang w:val="en-US"/>
        </w:rPr>
        <w:fldChar w:fldCharType="end"/>
      </w:r>
      <w:r w:rsidRPr="006A1593">
        <w:rPr>
          <w:sz w:val="24"/>
          <w:szCs w:val="24"/>
          <w:lang w:val="en-US"/>
        </w:rPr>
        <w:t xml:space="preserve"> When a hypodense region is identified, the rater should follow its course through all the available NCCT </w:t>
      </w:r>
      <w:r w:rsidRPr="006A1593">
        <w:rPr>
          <w:sz w:val="24"/>
          <w:szCs w:val="24"/>
          <w:lang w:val="en-US"/>
        </w:rPr>
        <w:lastRenderedPageBreak/>
        <w:t xml:space="preserve">slices to exclude the presence of a connection with areas surrounding the hemorrhage. When the rater cannot rule out a connection between the hypodensity and the surface of the hemorrhage using axial NCCT images, coronal and sagittal reconstruction </w:t>
      </w:r>
      <w:r w:rsidR="00B04EFB" w:rsidRPr="006A1593">
        <w:rPr>
          <w:sz w:val="24"/>
          <w:szCs w:val="24"/>
          <w:lang w:val="en-US"/>
        </w:rPr>
        <w:t>should be used</w:t>
      </w:r>
      <w:r w:rsidRPr="006A1593">
        <w:rPr>
          <w:sz w:val="24"/>
          <w:szCs w:val="24"/>
          <w:lang w:val="en-US"/>
        </w:rPr>
        <w:t xml:space="preserve"> in the differential diagnosis and distinguish true hypodensities from partial volume effect.</w:t>
      </w:r>
    </w:p>
    <w:p w:rsidR="00854903" w:rsidRPr="006A1593" w:rsidRDefault="00854903" w:rsidP="00854903">
      <w:pPr>
        <w:pStyle w:val="Heading2"/>
        <w:rPr>
          <w:rFonts w:ascii="Times New Roman" w:hAnsi="Times New Roman"/>
          <w:color w:val="FF0000"/>
          <w:sz w:val="24"/>
          <w:szCs w:val="24"/>
          <w:u w:val="none"/>
          <w:lang w:val="en-US"/>
        </w:rPr>
      </w:pPr>
      <w:r w:rsidRPr="006A1593">
        <w:rPr>
          <w:rFonts w:ascii="Times New Roman" w:hAnsi="Times New Roman"/>
          <w:sz w:val="24"/>
          <w:szCs w:val="24"/>
          <w:u w:val="none"/>
          <w:lang w:val="en-US"/>
        </w:rPr>
        <w:t>Black Hole Sign</w:t>
      </w:r>
    </w:p>
    <w:p w:rsidR="00854903" w:rsidRPr="006A1593" w:rsidRDefault="00854903" w:rsidP="00854903">
      <w:pPr>
        <w:rPr>
          <w:sz w:val="24"/>
          <w:szCs w:val="24"/>
          <w:lang w:val="en-US"/>
        </w:rPr>
      </w:pPr>
      <w:r w:rsidRPr="006A1593">
        <w:rPr>
          <w:sz w:val="24"/>
          <w:szCs w:val="24"/>
          <w:lang w:val="en-US"/>
        </w:rPr>
        <w:t>The Black hole sign is defined as a relatively hypoattenuating area encapsulated within a hyperattenuating hematoma.</w:t>
      </w:r>
      <w:r w:rsidR="009134B6" w:rsidRPr="006A1593">
        <w:rPr>
          <w:sz w:val="24"/>
          <w:szCs w:val="24"/>
          <w:lang w:val="en-US"/>
        </w:rPr>
        <w:fldChar w:fldCharType="begin" w:fldLock="1"/>
      </w:r>
      <w:r w:rsidR="00C73B4E" w:rsidRPr="006A1593">
        <w:rPr>
          <w:sz w:val="24"/>
          <w:szCs w:val="24"/>
          <w:lang w:val="en-US"/>
        </w:rPr>
        <w:instrText>ADDIN CSL_CITATION {"citationItems":[{"id":"ITEM-1","itemData":{"DOI":"10.5582/bst.2017.01283","ISSN":"18817823","author":[{"dropping-particle":"","family":"Li","given":"Ruili","non-dropping-particle":"","parse-names":false,"suffix":""},{"dropping-particle":"","family":"Yang","given":"Mingfei","non-dropping-particle":"","parse-names":false,"suffix":""}],"container-title":"BioScience Trends","id":"ITEM-1","issue":"6","issued":{"date-parts":[["2017"]]},"page":"682-687","title":"A comparative study of the blend sign and the black hole sign on CT as a predictor of hematoma expansion in spontaneous intracerebral hemorrhage","type":"article-journal","volume":"11"},"uris":["http://www.mendeley.com/documents/?uuid=4a4f1132-2cff-44de-8be5-6b79cc5b597b"]},{"id":"ITEM-2","itemData":{"DOI":"10.1161/STROKEAHA.116.013186","ISSN":"15244628","PMID":"27174523","abstract":"BACKGROUND AND PURPOSE Early hematoma growth is a devastating neurological complication after intracerebral hemorrhage. We aim to report and evaluate the usefulness of computed tomography (CT) black hole sign in predicting hematoma growth in patients with intracerebral hemorrhage. METHODS Patients with intracerebral hemorrhage were screened for the presence of CT black hole sign on admission head CT performed within 6 hours after onset of symptoms. The black hole sign was defined as hypoattenuatting area encapsulated within the hyperattenuating hematoma with a clearly defined border. The sensitivity, specificity, and positive and negative predictive values of CT black hole sign in predicting hematoma expansion were calculated. Logistic regression analyses were used to assess the presence of the black hole sign and early hematoma growth. RESULTS A total of 206 patients were enrolled. Black hole sign was found in 30 (14.6%) of 206 patients on the baseline CT scan. The black hole sign was more common in patients with hematoma growth (31.9%) than those without hematoma growth (5.8%; P&lt;0.001). The sensitivity, specificity, positive predictive value, and negative predictive value of back hole sign in predicting early hematoma growth were 31.9%, 94.1%, 73.3%, and 73.2%, respectively. The time-to-admission CT scan, baseline hematoma volume, and the presence of black hole sign on admission CT independently predict hematoma growth in multivariate model. CONCLUSIONS The CT black hole sign could be used as a simple and easy-to-use predictor for early hematoma growth in patients with intracerebral hemorrhage.","author":[{"dropping-particle":"","family":"Li","given":"Qi","non-dropping-particle":"","parse-names":false,"suffix":""},{"dropping-particle":"","family":"Zhang","given":"Gang","non-dropping-particle":"","parse-names":false,"suffix":""},{"dropping-particle":"","family":"Xiong","given":"Xin","non-dropping-particle":"","parse-names":false,"suffix":""},{"dropping-particle":"","family":"Wang","given":"Xing Chen","non-dropping-particle":"","parse-names":false,"suffix":""},{"dropping-particle":"","family":"Yang","given":"Wen Song","non-dropping-particle":"","parse-names":false,"suffix":""},{"dropping-particle":"","family":"Li","given":"Ke Wei","non-dropping-particle":"","parse-names":false,"suffix":""},{"dropping-particle":"","family":"Wei","given":"Xiao","non-dropping-particle":"","parse-names":false,"suffix":""},{"dropping-particle":"","family":"Xie","given":"Peng","non-dropping-particle":"","parse-names":false,"suffix":""}],"container-title":"Stroke","id":"ITEM-2","issue":"7","issued":{"date-parts":[["2016"]]},"page":"1777-1781","title":"Black hole sign: Novel imaging marker that predicts hematoma growth in patients with intracerebral hemorrhage","type":"article-journal","volume":"47"},"uris":["http://www.mendeley.com/documents/?uuid=f09b326d-ad0b-4965-988f-5b07bc97aad3"]}],"mendeley":{"formattedCitation":"&lt;sup&gt;27,28&lt;/sup&gt;","plainTextFormattedCitation":"27,28","previouslyFormattedCitation":"&lt;sup&gt;27,28&lt;/sup&gt;"},"properties":{"noteIndex":0},"schema":"https://github.com/citation-style-language/schema/raw/master/csl-citation.json"}</w:instrText>
      </w:r>
      <w:r w:rsidR="009134B6" w:rsidRPr="006A1593">
        <w:rPr>
          <w:sz w:val="24"/>
          <w:szCs w:val="24"/>
          <w:lang w:val="en-US"/>
        </w:rPr>
        <w:fldChar w:fldCharType="separate"/>
      </w:r>
      <w:r w:rsidR="00C73B4E" w:rsidRPr="006A1593">
        <w:rPr>
          <w:noProof/>
          <w:sz w:val="24"/>
          <w:szCs w:val="24"/>
          <w:vertAlign w:val="superscript"/>
          <w:lang w:val="en-US"/>
        </w:rPr>
        <w:t>27,28</w:t>
      </w:r>
      <w:r w:rsidR="009134B6" w:rsidRPr="006A1593">
        <w:rPr>
          <w:sz w:val="24"/>
          <w:szCs w:val="24"/>
          <w:lang w:val="en-US"/>
        </w:rPr>
        <w:fldChar w:fldCharType="end"/>
      </w:r>
      <w:r w:rsidRPr="006A1593">
        <w:rPr>
          <w:sz w:val="24"/>
          <w:szCs w:val="24"/>
          <w:lang w:val="en-US"/>
        </w:rPr>
        <w:t xml:space="preserve"> The rater should identify a well-defined margin between the 2 regions and a density difference of at least 28 Hounsfield units. The hypoattenuating area (black hole) should not</w:t>
      </w:r>
      <w:r w:rsidR="0095257F" w:rsidRPr="006A1593">
        <w:rPr>
          <w:sz w:val="24"/>
          <w:szCs w:val="24"/>
          <w:lang w:val="en-US"/>
        </w:rPr>
        <w:t xml:space="preserve"> </w:t>
      </w:r>
      <w:r w:rsidRPr="006A1593">
        <w:rPr>
          <w:sz w:val="24"/>
          <w:szCs w:val="24"/>
          <w:lang w:val="en-US"/>
        </w:rPr>
        <w:t xml:space="preserve">connect with the </w:t>
      </w:r>
      <w:r w:rsidR="0095257F" w:rsidRPr="006A1593">
        <w:rPr>
          <w:sz w:val="24"/>
          <w:szCs w:val="24"/>
          <w:lang w:val="en-US"/>
        </w:rPr>
        <w:t xml:space="preserve">hematoma </w:t>
      </w:r>
      <w:r w:rsidRPr="006A1593">
        <w:rPr>
          <w:sz w:val="24"/>
          <w:szCs w:val="24"/>
          <w:lang w:val="en-US"/>
        </w:rPr>
        <w:t>outer surface and can have any dimension and morphology. Of note, hypodense regions inside the hemorrhage with blurred unclear margins do not qualify as black holes. The rater should draw two ROIs to obtain an accurate measure of the density difference between the hypodense area and the surrounding hyperattenuating hemorrhage. The ROI in the hypodense region presumed to be a black hole sign should be delineated to cover the largest surface possible. The density measure of the hemorrhage containing a possible black hole should be obtained with a ROI placed in the most hyperattenuating area. The two ROIs should be placed in the same axial CT slice.</w:t>
      </w:r>
    </w:p>
    <w:p w:rsidR="00854903" w:rsidRPr="006A1593" w:rsidRDefault="00854903" w:rsidP="00854903">
      <w:pPr>
        <w:pStyle w:val="Heading2"/>
        <w:rPr>
          <w:rFonts w:ascii="Times New Roman" w:hAnsi="Times New Roman"/>
          <w:sz w:val="24"/>
          <w:szCs w:val="24"/>
          <w:u w:val="none"/>
          <w:lang w:val="en-US"/>
        </w:rPr>
      </w:pPr>
      <w:r w:rsidRPr="006A1593">
        <w:rPr>
          <w:rFonts w:ascii="Times New Roman" w:hAnsi="Times New Roman"/>
          <w:sz w:val="24"/>
          <w:szCs w:val="24"/>
          <w:u w:val="none"/>
          <w:lang w:val="en-US"/>
        </w:rPr>
        <w:t xml:space="preserve">Blend sign </w:t>
      </w:r>
    </w:p>
    <w:p w:rsidR="00854903" w:rsidRPr="006A1593" w:rsidRDefault="00854903" w:rsidP="00854903">
      <w:pPr>
        <w:rPr>
          <w:sz w:val="24"/>
          <w:szCs w:val="24"/>
          <w:lang w:val="en-US"/>
        </w:rPr>
      </w:pPr>
      <w:r w:rsidRPr="006A1593">
        <w:rPr>
          <w:sz w:val="24"/>
          <w:szCs w:val="24"/>
          <w:lang w:val="en-US"/>
        </w:rPr>
        <w:t>The blend sign is defined as a relatively hypoattenuating area next to a hyperattenuating area of the hematoma, with a well-defined margin between the two regions and a density difference of at least 18 Hounsfield units.</w:t>
      </w:r>
      <w:r w:rsidR="009134B6" w:rsidRPr="006A1593">
        <w:rPr>
          <w:sz w:val="24"/>
          <w:szCs w:val="24"/>
          <w:lang w:val="en-US"/>
        </w:rPr>
        <w:fldChar w:fldCharType="begin" w:fldLock="1"/>
      </w:r>
      <w:r w:rsidR="00C73B4E" w:rsidRPr="006A1593">
        <w:rPr>
          <w:sz w:val="24"/>
          <w:szCs w:val="24"/>
          <w:lang w:val="en-US"/>
        </w:rPr>
        <w:instrText>ADDIN CSL_CITATION {"citationItems":[{"id":"ITEM-1","itemData":{"DOI":"10.1161/STROKEAHA.115.009185","ISSN":"1524-4628","PMID":"26089330","abstract":"BACKGROUND AND PURPOSE: Early hematoma growth is not uncommon in patients with intracerebral hemorrhage and is an independent predictor of poor functional outcome. The purpose of our study was to report and validate the use of our newly identified computed tomographic (CT) blend sign in predicting early hematoma growth.\n\nMETHODS: Patients with intracerebral hemorrhage who underwent baseline CT scan within 6 hours after onset of symptoms were included. The follow-up CT scan was performed within 24 hours after the baseline CT scan. Significant hematoma growth was defined as an increase in hematoma volume of &gt;33% or an absolute increase of hematoma volume of &gt;12.5 mL. The blend sign on admission nonenhanced CT was defined as blending of hypoattenuating area and hyperattenuating region with a well-defined margin. Univariate and multivariable logistic regression analyses were performed to assess the relationship between the presence of the blend sign on nonenhanced admission CT and early hematoma growth.\n\nRESULTS: A total of 172 patients were included in our study. Blend sign was observed in 29 of 172 (16.9%) patients with intracerebral hemorrhage on baseline nonenhanced CT scan. Of the 61 patients with hematoma growth, 24 (39.3%) had blend sign on admission CT scan. Interobserver agreement for identifying blend sign was excellent between the 2 readers (κ=0.957). The multivariate logistic regression analysis demonstrated that the time to baseline CT scan, initial hematoma volume, and presence of blend sign on baseline CT scan to be independent predictors of early hematoma growth. The sensitivity, specificity, positive and negative predictive values of blend sign for predicting hematoma growth were 39.3%, 95.5%, 82.7%, and 74.1%, respectively.\n\nCONCLUSIONS: The CT blend sign could be easily identified on regular nonenhanced CT and is highly specific for predicting hematoma growth.","author":[{"dropping-particle":"","family":"Li","given":"Qi","non-dropping-particle":"","parse-names":false,"suffix":""},{"dropping-particle":"","family":"Zhang","given":"Gang","non-dropping-particle":"","parse-names":false,"suffix":""},{"dropping-particle":"","family":"Huang","given":"Yuan-Jun","non-dropping-particle":"","parse-names":false,"suffix":""},{"dropping-particle":"","family":"Dong","given":"Mei-Xue","non-dropping-particle":"","parse-names":false,"suffix":""},{"dropping-particle":"","family":"Lv","given":"Fa-Jin","non-dropping-particle":"","parse-names":false,"suffix":""},{"dropping-particle":"","family":"Wei","given":"Xiao","non-dropping-particle":"","parse-names":false,"suffix":""},{"dropping-particle":"","family":"Chen","given":"Jian-Jun","non-dropping-particle":"","parse-names":false,"suffix":""},{"dropping-particle":"","family":"Zhang","given":"Li-Juan","non-dropping-particle":"","parse-names":false,"suffix":""},{"dropping-particle":"","family":"Qin","given":"Xin-Yue","non-dropping-particle":"","parse-names":false,"suffix":""},{"dropping-particle":"","family":"Xie","given":"Peng","non-dropping-particle":"","parse-names":false,"suffix":""}],"container-title":"Stroke; a journal of cerebral circulation","id":"ITEM-1","issued":{"date-parts":[["2015","6","18"]]},"title":"Blend Sign on Computed Tomography: Novel and Reliable Predictor for Early Hematoma Growth in Patients with Intracerebral Hemorrhage.","type":"article-journal"},"uris":["http://www.mendeley.com/documents/?uuid=286e4cd7-1437-41bc-8d77-cb918be3689d"]},{"id":"ITEM-2","itemData":{"DOI":"10.12659/MSM.901583","ISSN":"1643-3750","PMID":"28498827","abstract":"BACKGROUND Hematoma expansion is associated with poor outcome in intracerebral hemorrhage (ICH) patients. The spot sign and the blend sign are reliable tools for predicting hematoma expansion in ICH patients. The aim of this study was to compare the accuracy of the two signs in the prediction of hematoma expansion. MATERIAL AND METHODS Patients with spontaneous ICH were screened for the presence of the computed tomography angiography (CTA) spot sign and the non-contrast CT (NCCT) blend sign within 6 hours after onset of symptoms. The sensitivity, specificity, and positive and negative predictive values of the spot sign and the blend sign in predicting hematoma expansion were calculated. The accuracy of the spot sign and the blend sign in predicting hematoma expansion was analyzed by receiver-operator analysis. RESULTS A total of 115 patients were enrolled in this study. The spot sign was observed in 25 (21.74%) patients, whereas the blend sign was observed in 22 (19.13%) patients. Of the 28 patients with hematoma expansion, the CTA spot sign was found on admission CT scans in 16 (57.14%) and the NCCT blend sign in 12 (42.86%), respectively. The sensitivity, specificity, positive predictive value, and negative predictive value of the spot sign for predicting hematoma expansion were 57.14%, 89.66%, 64.00%, and 86.67%, respectively. In contrast, the sensitivity, specificity, positive predictive value, and negative predictive value of the blend sign were 42.86%, 88.51%, 54.55%, and 82.80%, respectively. The area under the curve (AUC) of the spot sign was 0.734, which was higher than that of the blend sign (0.657). CONCLUSIONS Both the spot sign and the blend sign seemed to be good predictors for hematoma expansion, and the spot sign appeared to have better predictive accuracy.","author":[{"dropping-particle":"","family":"Zheng","given":"Jun","non-dropping-particle":"","parse-names":false,"suffix":""},{"dropping-particle":"","family":"Yu","given":"Zhiyuan","non-dropping-particle":"","parse-names":false,"suffix":""},{"dropping-particle":"","family":"Xu","given":"Zhao","non-dropping-particle":"","parse-names":false,"suffix":""},{"dropping-particle":"","family":"Li","given":"Mou","non-dropping-particle":"","parse-names":false,"suffix":""},{"dropping-particle":"","family":"Wang","given":"Xiaoze","non-dropping-particle":"","parse-names":false,"suffix":""},{"dropping-particle":"","family":"Lin","given":"Sen","non-dropping-particle":"","parse-names":false,"suffix":""},{"dropping-particle":"","family":"Li","given":"Hao","non-dropping-particle":"","parse-names":false,"suffix":""},{"dropping-particle":"","family":"You","given":"Chao","non-dropping-particle":"","parse-names":false,"suffix":""}],"container-title":"Medical Science Monitor","id":"ITEM-2","issued":{"date-parts":[["2017"]]},"page":"2250-2257","title":"The Accuracy of the Spot Sign and the Blend Sign for Predicting Hematoma Expansion in Patients with Spontaneous Intracerebral Hemorrhage","type":"article-journal","volume":"23"},"uris":["http://www.mendeley.com/documents/?uuid=d7dbf6da-9164-428f-89e4-8763844c23d2"]},{"id":"ITEM-3","itemData":{"DOI":"http://dx.doi.org/10.1371/journal.pone.0183082","ISBN":"1111111111","ISSN":"19326203","abstract":"Introduction: Blend sign has been recently described as a novel imaging marker that predicts hematoma expansion. The purpose of our study was to investigate the prognostic value of CT blend sign in patients with ICH. Objectives and methods: Patients with intracerebral hemorrhage who underwent baseline CT scan within 6 hours were included. The presence of blend sign on admission nonenhanced CT was independently assessed by two readers. The functional outcome was assessed by using the modified Rankin Scale (mRS) at 90 days. Results: Blend sign was identified in 40 of 238 (16.8%) patients on admission CT scan. The proportion of patients with a poor functional outcome was significantly higher in patients with blend sign than those without blend sign (75.0% versus 47.5%, P = 0.001). The multivariate logistic regression analysis demonstrated that age, intraventricular hemorrhage, admission GCS score, baseline hematoma volume and presence of blend sign on baseline CT independently predict poor functional outcome at 90 days. The CT blend sign independently predicts poor outcome in patients with ICH (odds ratio 3.61, 95% confidence interval [1.47-8.89];p = 0.005). Conclusions: Early identification of blend sign is useful in prognostic stratification and may serve as a potential therapeutic target for prospective interventional studies.Copyright © 2017 Li et al. This is an open access article distributed under the terms of the Creative Commons Attribution License, which permits unrestricted use, distribution, and reproduction in any medium, provided the original author and source are credited.","author":[{"dropping-particle":"","family":"Li","given":"Q.","non-dropping-particle":"","parse-names":false,"suffix":""},{"dropping-particle":"","family":"Yang","given":"W.-S.","non-dropping-particle":"","parse-names":false,"suffix":""},{"dropping-particle":"","family":"Wang","given":"X.-C.","non-dropping-particle":"","parse-names":false,"suffix":""},{"dropping-particle":"","family":"Cao","given":"D.","non-dropping-particle":"","parse-names":false,"suffix":""},{"dropping-particle":"","family":"Zhu","given":"D.","non-dropping-particle":"","parse-names":false,"suffix":""},{"dropping-particle":"","family":"Lv","given":"F.-J.","non-dropping-particle":"","parse-names":false,"suffix":""},{"dropping-particle":"","family":"Liu","given":"Y.","non-dropping-particle":"","parse-names":false,"suffix":""},{"dropping-particle":"","family":"Yuan","given":"L.","non-dropping-particle":"","parse-names":false,"suffix":""},{"dropping-particle":"","family":"Zhang","given":"G.","non-dropping-particle":"","parse-names":false,"suffix":""},{"dropping-particle":"","family":"Xiong","given":"X.","non-dropping-particle":"","parse-names":false,"suffix":""},{"dropping-particle":"","family":"Li","given":"R.","non-dropping-particle":"","parse-names":false,"suffix":""},{"dropping-particle":"","family":"Hu","given":"Y.-X.","non-dropping-particle":"","parse-names":false,"suffix":""},{"dropping-particle":"","family":"Qin","given":"X.-Y.","non-dropping-particle":"","parse-names":false,"suffix":""}],"container-title":"PLoS ONE","id":"ITEM-3","issue":"8","issued":{"date-parts":[["2017"]]},"page":"e0183082","title":"Blend sign predicts poor outcome in patients with intracerebral hemorrhage","type":"article-journal","volume":"12"},"uris":["http://www.mendeley.com/documents/?uuid=fcd52392-2ca1-4703-bb13-332a9e50e067"]},{"id":"ITEM-4","itemData":{"DOI":"10.1186/s12883-017-0910-6","ISSN":"1471-2377","PMID":"28683728","abstract":"BACKGROUNDS Intracranial post-operative re-haemorrhage is an important complication in patients with hypertensive intracerebral haemorrhage (ICH). The purpose of the present study was to determine the value of the computed tomography (CT) blend sign in predicting post-operative re-haemorrhage in patients with ICH. METHODS A total of 126 patients with ICH were included in the present study. All the patients underwent standard stereotactic minimally invasive surgery(MIS) to remove the ICH within 24 h following admission. There were 41 patients with a blend sign on initial CT and 85 patients without a blend sign on the initial CT. Multivariable logistic regression analyses were performed to assess the relationship between the presence of the blend sign on the non-enhanced admission CT scan and post-operative re-haemorrhage. RESULTS Post-operative re-haemorrhage occurred in 24 of the 41 patients with the blend sign, and in 9 of the 85 patients without the blend sign. The incidence of re-haemorrhage was significantly different between the groups. The multivariate logistic regression analysis demonstrated that the initial Glasgow coma scale score (p = 0.002) and blend sign (P &lt; 0.00) on the initial CT scan are independent predictors of post-operative re-haemorrhage. The sensitivity, specificity, and positive and negative predictive values of the blend sign for predicting post-operative re-haemorrhage were 72.7, 81.7, 58.5 and 89.4%, respectively. CONCLUSIONS The presence of the blend sign on the initial CT scan is closely associated with post-operative re-haemorrhage in patients with ICH who undergo stereotactic MIS.","author":[{"dropping-particle":"","family":"Wu","given":"Guofeng","non-dropping-particle":"","parse-names":false,"suffix":""},{"dropping-particle":"","family":"Shen","given":"Zhengkui","non-dropping-particle":"","parse-names":false,"suffix":""},{"dropping-particle":"","family":"Wang","given":"Likun","non-dropping-particle":"","parse-names":false,"suffix":""},{"dropping-particle":"","family":"Sun","given":"Shujie","non-dropping-particle":"","parse-names":false,"suffix":""},{"dropping-particle":"","family":"Luo","given":"Jinbiao","non-dropping-particle":"","parse-names":false,"suffix":""},{"dropping-particle":"","family":"Mao","given":"Yuanhong","non-dropping-particle":"","parse-names":false,"suffix":""}],"container-title":"BMC neurology","id":"ITEM-4","issue":"1","issued":{"date-parts":[["2017","7","6"]]},"page":"131","publisher":"BioMed Central","title":"Post-operative re-bleeding in patients with hypertensive ICH is closely associated with the CT blend sign.","type":"article-journal","volume":"17"},"uris":["http://www.mendeley.com/documents/?uuid=324874c1-4680-3f16-9758-4e33b206e7db"]}],"mendeley":{"formattedCitation":"&lt;sup&gt;29–32&lt;/sup&gt;","plainTextFormattedCitation":"29–32","previouslyFormattedCitation":"&lt;sup&gt;29–32&lt;/sup&gt;"},"properties":{"noteIndex":0},"schema":"https://github.com/citation-style-language/schema/raw/master/csl-citation.json"}</w:instrText>
      </w:r>
      <w:r w:rsidR="009134B6" w:rsidRPr="006A1593">
        <w:rPr>
          <w:sz w:val="24"/>
          <w:szCs w:val="24"/>
          <w:lang w:val="en-US"/>
        </w:rPr>
        <w:fldChar w:fldCharType="separate"/>
      </w:r>
      <w:r w:rsidR="00C73B4E" w:rsidRPr="006A1593">
        <w:rPr>
          <w:noProof/>
          <w:sz w:val="24"/>
          <w:szCs w:val="24"/>
          <w:vertAlign w:val="superscript"/>
          <w:lang w:val="en-US"/>
        </w:rPr>
        <w:t>29–32</w:t>
      </w:r>
      <w:r w:rsidR="009134B6" w:rsidRPr="006A1593">
        <w:rPr>
          <w:sz w:val="24"/>
          <w:szCs w:val="24"/>
          <w:lang w:val="en-US"/>
        </w:rPr>
        <w:fldChar w:fldCharType="end"/>
      </w:r>
      <w:r w:rsidRPr="006A1593">
        <w:rPr>
          <w:sz w:val="24"/>
          <w:szCs w:val="24"/>
          <w:lang w:val="en-US"/>
        </w:rPr>
        <w:t xml:space="preserve"> This density difference can be measured in a single point of each area o</w:t>
      </w:r>
      <w:r w:rsidR="00091FD6" w:rsidRPr="006A1593">
        <w:rPr>
          <w:sz w:val="24"/>
          <w:szCs w:val="24"/>
          <w:lang w:val="en-US"/>
        </w:rPr>
        <w:t>r drawing a ROI</w:t>
      </w:r>
      <w:r w:rsidRPr="006A1593">
        <w:rPr>
          <w:sz w:val="24"/>
          <w:szCs w:val="24"/>
          <w:lang w:val="en-US"/>
        </w:rPr>
        <w:t xml:space="preserve"> of any size to automatically calculate the average density measured in HU. The relatively hypoattenuating area should not be encapsulated by the hyperattenuating region and can have any shape and dimension. The two regions with different density </w:t>
      </w:r>
      <w:proofErr w:type="gramStart"/>
      <w:r w:rsidRPr="006A1593">
        <w:rPr>
          <w:sz w:val="24"/>
          <w:szCs w:val="24"/>
          <w:lang w:val="en-US"/>
        </w:rPr>
        <w:t>have to</w:t>
      </w:r>
      <w:proofErr w:type="gramEnd"/>
      <w:r w:rsidRPr="006A1593">
        <w:rPr>
          <w:sz w:val="24"/>
          <w:szCs w:val="24"/>
          <w:lang w:val="en-US"/>
        </w:rPr>
        <w:t xml:space="preserve"> be easily recognizable with direct visual inspection of the scan without image zooming.</w:t>
      </w:r>
    </w:p>
    <w:p w:rsidR="00854903" w:rsidRPr="006A1593" w:rsidRDefault="00854903" w:rsidP="00854903">
      <w:pPr>
        <w:pStyle w:val="Heading2"/>
        <w:rPr>
          <w:rFonts w:ascii="Times New Roman" w:hAnsi="Times New Roman"/>
          <w:color w:val="FF0000"/>
          <w:sz w:val="24"/>
          <w:szCs w:val="24"/>
          <w:u w:val="none"/>
          <w:lang w:val="en-US"/>
        </w:rPr>
      </w:pPr>
      <w:r w:rsidRPr="006A1593">
        <w:rPr>
          <w:rFonts w:ascii="Times New Roman" w:hAnsi="Times New Roman"/>
          <w:sz w:val="24"/>
          <w:szCs w:val="24"/>
          <w:u w:val="none"/>
          <w:lang w:val="en-US"/>
        </w:rPr>
        <w:t>Fluid Level</w:t>
      </w:r>
    </w:p>
    <w:p w:rsidR="00854903" w:rsidRPr="006A1593" w:rsidRDefault="00854903" w:rsidP="00854903">
      <w:pPr>
        <w:rPr>
          <w:color w:val="23231C"/>
          <w:sz w:val="24"/>
          <w:szCs w:val="24"/>
          <w:lang w:val="en-US"/>
        </w:rPr>
      </w:pPr>
      <w:r w:rsidRPr="006A1593">
        <w:rPr>
          <w:sz w:val="24"/>
          <w:szCs w:val="24"/>
          <w:shd w:val="clear" w:color="auto" w:fill="FFFFFF"/>
          <w:lang w:val="en-US"/>
        </w:rPr>
        <w:t xml:space="preserve">A fluid sedimentation level is the presence of at least one distinct area of ICH containing an area of low CT attenuation (hypodense to the brain) above and high CT attenuation (hyperdense </w:t>
      </w:r>
      <w:r w:rsidR="00695C07" w:rsidRPr="006A1593">
        <w:rPr>
          <w:sz w:val="24"/>
          <w:szCs w:val="24"/>
          <w:shd w:val="clear" w:color="auto" w:fill="FFFFFF"/>
          <w:lang w:val="en-US"/>
        </w:rPr>
        <w:t xml:space="preserve">compared </w:t>
      </w:r>
      <w:r w:rsidRPr="006A1593">
        <w:rPr>
          <w:sz w:val="24"/>
          <w:szCs w:val="24"/>
          <w:shd w:val="clear" w:color="auto" w:fill="FFFFFF"/>
          <w:lang w:val="en-US"/>
        </w:rPr>
        <w:t>to the brain) below a discrete straight line of separation, irrespective of its density appearance.</w:t>
      </w:r>
      <w:r w:rsidR="009134B6" w:rsidRPr="006A1593">
        <w:rPr>
          <w:sz w:val="24"/>
          <w:szCs w:val="24"/>
          <w:shd w:val="clear" w:color="auto" w:fill="FFFFFF"/>
          <w:lang w:val="en-US"/>
        </w:rPr>
        <w:fldChar w:fldCharType="begin" w:fldLock="1"/>
      </w:r>
      <w:r w:rsidR="00A048E7" w:rsidRPr="006A1593">
        <w:rPr>
          <w:sz w:val="24"/>
          <w:szCs w:val="24"/>
          <w:shd w:val="clear" w:color="auto" w:fill="FFFFFF"/>
          <w:lang w:val="en-US"/>
        </w:rPr>
        <w:instrText>ADDIN CSL_CITATION {"citationItems":[{"id":"ITEM-1","itemData":{"ISSN":"0195-6108","PMID":"8192064","abstract":"PURPOSE To characterize the imaging features of intracerebral hemorrhages in coagulopathies that alter prothrombin time or partial thromboplastin time. METHODS A fluid-blood level was defined as a horizontal interface between hypodense bloody serum layered above hyperdense settled blood. The prevalence of fluid-blood levels in acute intracerebral hemorrhages was determined on third-generation CT scans in 32 patients with elevation in prothrombin time or partial thromboplastin time. This was compared with the frequency of fluid-blood levels in 185 patients with intracerebral hemorrhage in which there was no laboratory evidence of coagulopathy. RESULTS The probability of finding a fluid-blood level in an intracerebral hemorrhage of a patient with abnormal prothrombin time or partial thromboplastin time was 59% (sensitivity). The probability that there will be no fluid-blood level in a patient with a normal prothrombin time and partial thromboplastin time was 98% (specificity). CONCLUSION Fluid-blood levels in acute intracerebral hemorrhage are moderately sensitive to the presence of coagulopathy (ie, abnormal prothrombin time and partial thromboplastin time) and highly specific for this condition. Thus, an intracerebral hemorrhage with a fluid-blood level should prompt a thorough search for coagulopathy because early treatment of this condition may improve the 40% mortality in these patients. Caution should be used to distinguish the horizontal interface of a fluid-blood level from a clot with a flat top. A decubitus CT is useful in these rare instances.","author":[{"dropping-particle":"","family":"Pfleger","given":"M J","non-dropping-particle":"","parse-names":false,"suffix":""},{"dropping-particle":"","family":"Hardee","given":"E P","non-dropping-particle":"","parse-names":false,"suffix":""},{"dropping-particle":"","family":"Contant","given":"C F","non-dropping-particle":"","parse-names":false,"suffix":""},{"dropping-particle":"","family":"Hayman","given":"L A","non-dropping-particle":"","parse-names":false,"suffix":""}],"container-title":"AJNR. American journal of neuroradiology","id":"ITEM-1","issue":"2","issued":{"date-parts":[["1994","2"]]},"page":"217-23","title":"Sensitivity and specificity of fluid-blood levels for coagulopathy in acute intracerebral hematomas.","type":"article-journal","volume":"15"},"uris":["http://www.mendeley.com/documents/?uuid=bcffd554-54e2-37f6-b254-6eee05411151"]},{"id":"ITEM-2","itemData":{"DOI":"10.1159/000442532","ISSN":"1421-9786","PMID":"26671408","abstract":"BACKGROUND This study aimed at identifying the determinants and prognostic significance of a sedimentation level (fluid-blood level) in the hematoma among patients with acute intracerebral hemorrhage (ICH) who participated in the main Intensive Blood Pressure Reduction in Acute Cerebral Hemorrhage Trial (INTERACT2). METHODS Post-hoc analysis of the INTERACT2 dataset, a randomized controlled trial of patients with acute ICH with elevated systolic blood pressure (SBP), randomly assigned to intensive (target SBP &lt;140 mm Hg) or guideline-based (&lt;180 mm Hg) BP management. Patients with a sedimentation level at baseline assessment on CT, and modified Rankin Scale score at 90-day, were included in these analyses. Factors associated with a sedimentation level and its significance in relation to 90-day clinical outcomes were assessed in univariable and multivariable logistic regression models. RESULTS Of 2,065 participants, 19 (1%) had sedimentation level on baseline CT, which was independently associated with warfarin use (p = 0.006) and lobar ICH (p = 0.025). Sedimentation level was also associated with death or major disability at 90-day in both crude (84 vs. 53%; p = 0.014) and multivariable analyses adjusted for age, gender, Chinese region, warfarin use, baseline National Institutes of Health Stroke Scale score, onset to CT time, volume and location of ICH, intraventricular extension, and randomized intensive BP lowering (OR 3.94, 95% CI 1.01-15.37; p = 0.049). CONCLUSIONS The presence of hematoma sedimentation level on baseline CT is associated with warfarin use and lobar location of ICH, and predicts a worse outcome. Although uncommon, sedimentation level is an easily detectable prognostic factor in acute ICH.","author":[{"dropping-particle":"","family":"Sato","given":"Shoichiro","non-dropping-particle":"","parse-names":false,"suffix":""},{"dropping-particle":"","family":"Delcourt","given":"Candice","non-dropping-particle":"","parse-names":false,"suffix":""},{"dropping-particle":"","family":"Zhang","given":"Shihong","non-dropping-particle":"","parse-names":false,"suffix":""},{"dropping-particle":"","family":"Arima","given":"Hisatomi","non-dropping-particle":"","parse-names":false,"suffix":""},{"dropping-particle":"","family":"Heeley","given":"Emma","non-dropping-particle":"","parse-names":false,"suffix":""},{"dropping-particle":"","family":"Zheng","given":"Danni","non-dropping-particle":"","parse-names":false,"suffix":""},{"dropping-particle":"","family":"Al-Shahi Salman","given":"Rustam","non-dropping-particle":"","parse-names":false,"suffix":""},{"dropping-particle":"","family":"Stapf","given":"Christian","non-dropping-particle":"","parse-names":false,"suffix":""},{"dropping-particle":"","family":"Tzourio","given":"Christophe","non-dropping-particle":"","parse-names":false,"suffix":""},{"dropping-particle":"","family":"Robinson","given":"Thompson","non-dropping-particle":"","parse-names":false,"suffix":""},{"dropping-particle":"","family":"Lindley","given":"Richard I","non-dropping-particle":"","parse-names":false,"suffix":""},{"dropping-particle":"","family":"Chalmers","given":"John","non-dropping-particle":"","parse-names":false,"suffix":""},{"dropping-particle":"","family":"Anderson","given":"Craig S","non-dropping-particle":"","parse-names":false,"suffix":""},{"dropping-particle":"","family":"INTERACT2 Investigators","given":"for the INTERACT2","non-dropping-particle":"","parse-names":false,"suffix":""}],"container-title":"Cerebrovascular diseases (Basel, Switzerland)","id":"ITEM-2","issue":"1-2","issued":{"date-parts":[["2016"]]},"page":"80-6","publisher":"Karger Publishers","title":"Determinants and Prognostic Significance of Hematoma Sedimentation Levels in Acute Intracerebral Hemorrhage.","type":"article-journal","volume":"41"},"uris":["http://www.mendeley.com/documents/?uuid=adac5b9f-ffd5-3943-8274-6a12efc0c7a9"]}],"mendeley":{"formattedCitation":"&lt;sup&gt;33,34&lt;/sup&gt;","plainTextFormattedCitation":"33,34","previouslyFormattedCitation":"&lt;sup&gt;33,34&lt;/sup&gt;"},"properties":{"noteIndex":0},"schema":"https://github.com/citation-style-language/schema/raw/master/csl-citation.json"}</w:instrText>
      </w:r>
      <w:r w:rsidR="009134B6" w:rsidRPr="006A1593">
        <w:rPr>
          <w:sz w:val="24"/>
          <w:szCs w:val="24"/>
          <w:shd w:val="clear" w:color="auto" w:fill="FFFFFF"/>
          <w:lang w:val="en-US"/>
        </w:rPr>
        <w:fldChar w:fldCharType="separate"/>
      </w:r>
      <w:r w:rsidR="000214BC" w:rsidRPr="006A1593">
        <w:rPr>
          <w:noProof/>
          <w:sz w:val="24"/>
          <w:szCs w:val="24"/>
          <w:shd w:val="clear" w:color="auto" w:fill="FFFFFF"/>
          <w:vertAlign w:val="superscript"/>
          <w:lang w:val="en-US"/>
        </w:rPr>
        <w:t>33,34</w:t>
      </w:r>
      <w:r w:rsidR="009134B6" w:rsidRPr="006A1593">
        <w:rPr>
          <w:sz w:val="24"/>
          <w:szCs w:val="24"/>
          <w:shd w:val="clear" w:color="auto" w:fill="FFFFFF"/>
          <w:lang w:val="en-US"/>
        </w:rPr>
        <w:fldChar w:fldCharType="end"/>
      </w:r>
      <w:r w:rsidRPr="006A1593">
        <w:rPr>
          <w:color w:val="23231C"/>
          <w:sz w:val="24"/>
          <w:szCs w:val="24"/>
          <w:lang w:val="en-US"/>
        </w:rPr>
        <w:t xml:space="preserve"> The presence of a fluid level can be assessed with visual inspection of axial NCCT images without a quantification of the attenuation difference between the two regions.</w:t>
      </w:r>
    </w:p>
    <w:p w:rsidR="00460669" w:rsidRPr="006A1593" w:rsidRDefault="00460669">
      <w:pPr>
        <w:pStyle w:val="Heading2"/>
        <w:rPr>
          <w:rFonts w:ascii="Times New Roman" w:hAnsi="Times New Roman"/>
          <w:sz w:val="24"/>
          <w:szCs w:val="24"/>
          <w:u w:val="none"/>
          <w:lang w:val="en-US"/>
        </w:rPr>
      </w:pPr>
      <w:r w:rsidRPr="006A1593">
        <w:rPr>
          <w:rFonts w:ascii="Times New Roman" w:hAnsi="Times New Roman"/>
          <w:sz w:val="24"/>
          <w:szCs w:val="24"/>
          <w:u w:val="none"/>
          <w:lang w:val="en-US"/>
        </w:rPr>
        <w:lastRenderedPageBreak/>
        <w:t>Irregular Shape</w:t>
      </w:r>
    </w:p>
    <w:p w:rsidR="00460669" w:rsidRPr="006A1593" w:rsidRDefault="00460669">
      <w:pPr>
        <w:rPr>
          <w:sz w:val="24"/>
          <w:szCs w:val="24"/>
          <w:lang w:val="en-US"/>
        </w:rPr>
      </w:pPr>
      <w:r w:rsidRPr="006A1593">
        <w:rPr>
          <w:sz w:val="24"/>
          <w:szCs w:val="24"/>
          <w:lang w:val="en-US"/>
        </w:rPr>
        <w:t>Irregularity of shape in ICH is defined along an incremental continuum of hematoma margin irregularity, depicted on a five point visual analog shape scale.</w:t>
      </w:r>
      <w:r w:rsidR="009134B6" w:rsidRPr="006A1593">
        <w:rPr>
          <w:sz w:val="24"/>
          <w:szCs w:val="24"/>
          <w:lang w:val="en-US"/>
        </w:rPr>
        <w:fldChar w:fldCharType="begin" w:fldLock="1"/>
      </w:r>
      <w:r w:rsidR="00A048E7" w:rsidRPr="006A1593">
        <w:rPr>
          <w:sz w:val="24"/>
          <w:szCs w:val="24"/>
          <w:lang w:val="en-US"/>
        </w:rPr>
        <w:instrText>ADDIN CSL_CITATION {"citationItems":[{"id":"ITEM-1","itemData":{"DOI":"10.1161/STROKEAHA.108.536888","ISBN":"1524-4628 (Electronic)","ISSN":"00392499","PMID":"19286590","abstract":"BACKGROUND AND PURPOSE: Intracerebral hemorrhage (ICH) growth predicts mortality and functional outcome. We hypothesized that irregular hematoma shape and density heterogeneity, reflecting active, multifocal bleeding or a variable bleeding time course, would predict ICH growth. METHODS: Three raters examined baseline sub-3-hour CT brain scans of 90 patients in the placebo arm of a Phase IIb trial of recombinant activated Factor VII in ICH. Each rater, blinded to growth data, independently applied novel 5-point categorical scales of density and shape to randomly presented baseline CT images of ICH. Density and shape were defined as either homogeneous/regular (Category 1 to 2) or heterogeneous/irregular (Category 3 to 5). Within- and between-rater reliability was determined for these scales. Growth was assessed as a continuous variable and using 3 binary definitions: (1) any ICH growth; (2) &gt;or=33% or &gt;or=12.5 mL ICH growth; and (3) radial growth &gt;1 mm between baseline and 24-hour CT scan. Patients were divided into tertiles of baseline ICH volume: \"small\" (0 to 10 mL), \"medium\" (10 to 25 mL), and \"large\" (25 to 106 mL). RESULTS: Inter- and intrarater agreements for the novel scales exceeded 85% (+/-1 category). Median growth was significantly higher in the large-volume group compared with the small group (P&lt;0.001) and in heterogeneous compared with homogeneous ICH (P=0.008). Median growth trended higher in irregular ICHs compared with regular ICHs (P=0.084). Small ICHs were more regularly shaped (43%) than medium (17%) and large (3%) ICHs (P&lt;0.001). Small ICHs were more homogeneous (73%) compared with medium (37%) and large (17%) ICHs (P&lt;0.001). Adjusting for baseline ICH volume and time to scan, density heterogeneity, but not shape irregularity, independently predicted ICH growth (P=0.046) on a continuous growth scale. CONCLUSIONS: Large ICHs were significantly more irregular in shape, heterogeneous in density, and had greater growth. Density heterogeneity independently predicted ICH growth using some definitions.","author":[{"dropping-particle":"","family":"Barras","given":"Christen D.","non-dropping-particle":"","parse-names":false,"suffix":""},{"dropping-particle":"","family":"Tress","given":"Brian M.","non-dropping-particle":"","parse-names":false,"suffix":""},{"dropping-particle":"","family":"Christensen","given":"Soren","non-dropping-particle":"","parse-names":false,"suffix":""},{"dropping-particle":"","family":"MacGregor","given":"Lachlan","non-dropping-particle":"","parse-names":false,"suffix":""},{"dropping-particle":"","family":"Collins","given":"Mamie","non-dropping-particle":"","parse-names":false,"suffix":""},{"dropping-particle":"","family":"Desmond","given":"Patricia M.","non-dropping-particle":"","parse-names":false,"suffix":""},{"dropping-particle":"","family":"Skolnick","given":"Brett E.","non-dropping-particle":"","parse-names":false,"suffix":""},{"dropping-particle":"","family":"Mayer","given":"Stephan a.","non-dropping-particle":"","parse-names":false,"suffix":""},{"dropping-particle":"","family":"Broderick","given":"Joseph P.","non-dropping-particle":"","parse-names":false,"suffix":""},{"dropping-particle":"","family":"Diringer","given":"Michael N.","non-dropping-particle":"","parse-names":false,"suffix":""},{"dropping-particle":"","family":"Steiner","given":"Thorsten","non-dropping-particle":"","parse-names":false,"suffix":""},{"dropping-particle":"","family":"Davis","given":"Stephen M.","non-dropping-particle":"","parse-names":false,"suffix":""}],"container-title":"Stroke","id":"ITEM-1","issue":"4","issued":{"date-parts":[["2009"]]},"page":"1325-1331","title":"Density and shape as CT predictors of intracerebral hemorrhage growth","type":"article-journal","volume":"40"},"uris":["http://www.mendeley.com/documents/?uuid=8c77d5c1-4c1c-4ba6-8c88-bb0134498ac2"]},{"id":"ITEM-2","itemData":{"DOI":"10.1161/STROKEAHA.115.010566","ISBN":"0039-2499","ISSN":"15244628","PMID":"26451019","abstract":"3111 Background and Purpose—Hematoma expansion in intracerebral hemorrhage is associated with higher morbidity and mortality. The computed tomography (CT) angiographic spot sign is highly predictive of expansion, but other morphological features of intracerebral hemorrhage such as fluid levels, density heterogeneity, and margin irregularity may also predict expansion, particularly in centres where CT angiography is not readily available. Methods—Baseline noncontrast CT scans from patients enrolled in the Predicting Hematoma Growth and Outcome in Intracerebral Hemorrhage Using Contrast Bolus CT (PREDICT) study were assessed for the presence of fluid levels and degree of density heterogeneity and margin irregularity using previously validated scales. Presence and grade of these metrics were correlated with the presence of hematoma expansion as defined by the PREDICT study on 24-hour follow-up scan. Results—Three hundred eleven patients were included in the analysis. The presence of fluid levels and increasing heterogeneity and irregularity were associated with 24-hour hematoma expansion (P=0.021, 0.003 and 0.049, respectively) as well as increases in absolute hematoma size. Fluid levels had the highest positive predictive value (50%; 28%–71%), whereas margin irregularity had the highest negative predictive value (78%; 71%–85). Noncontrast metrics had comparable predictive values as spot sign for expansion when controlled for vitamin K, antiplatelet use, and baseline National Institutes of Health Stroke Scale, although in a combined area under the receiver-operating characteristic curve model, spot sign remained the most predictive. Conclusions—Fluid levels, density heterogeneity, and margin irregularity on noncontrast CT are associated with hematoma expansion at 24 hours. These markers may assist in prediction of outcomes in scenarios where CT angiography is not readily available and may be of future help in refining the predictive value of the CT angiography spot sign. (Stroke. 2015;46:3111-3116.","author":[{"dropping-particle":"","family":"Blacquiere","given":"Dylan","non-dropping-particle":"","parse-names":false,"suffix":""},{"dropping-particle":"","family":"Demchuk","given":"Andrew M.","non-dropping-particle":"","parse-names":false,"suffix":""},{"dropping-particle":"","family":"Al-Hazzaa","given":"Mohammed","non-dropping-particle":"","parse-names":false,"suffix":""},{"dropping-particle":"","family":"Deshpande","given":"Anirudda","non-dropping-particle":"","parse-names":false,"suffix":""},{"dropping-particle":"","family":"Petrcich","given":"William","non-dropping-particle":"","parse-names":false,"suffix":""},{"dropping-particle":"","family":"Aviv","given":"Richard I.","non-dropping-particle":"","parse-names":false,"suffix":""},{"dropping-particle":"","family":"Rodriguez-Luna","given":"David","non-dropping-particle":"","parse-names":false,"suffix":""},{"dropping-particle":"","family":"Molina","given":"Carlos a.","non-dropping-particle":"","parse-names":false,"suffix":""},{"dropping-particle":"","family":"Silva Blas","given":"Yolanda","non-dropping-particle":"","parse-names":false,"suffix":""},{"dropping-particle":"","family":"Dzialowski","given":"Imanuel","non-dropping-particle":"","parse-names":false,"suffix":""},{"dropping-particle":"","family":"Czlonkowska","given":"Anna","non-dropping-particle":"","parse-names":false,"suffix":""},{"dropping-particle":"","family":"Boulanger","given":"Jean Martin","non-dropping-particle":"","parse-names":false,"suffix":""},{"dropping-particle":"","family":"Lum","given":"Cheemun","non-dropping-particle":"","parse-names":false,"suffix":""},{"dropping-particle":"","family":"Gubitz","given":"Gord","non-dropping-particle":"","parse-names":false,"suffix":""},{"dropping-particle":"","family":"Padma","given":"Vasantha","non-dropping-particle":"","parse-names":false,"suffix":""},{"dropping-particle":"","family":"Roy","given":"Jayanta","non-dropping-particle":"","parse-names":false,"suffix":""},{"dropping-particle":"","family":"Kase","given":"Carlos S.","non-dropping-particle":"","parse-names":false,"suffix":""},{"dropping-particle":"","family":"Bhatia","given":"Rohit","non-dropping-particle":"","parse-names":false,"suffix":""},{"dropping-particle":"","family":"Hill","given":"Michael D.","non-dropping-particle":"","parse-names":false,"suffix":""},{"dropping-particle":"","family":"Dowlatshahi","given":"Dar","non-dropping-particle":"","parse-names":false,"suffix":""}],"container-title":"Stroke","id":"ITEM-2","issue":"11","issued":{"date-parts":[["2015"]]},"page":"3111-3116","title":"Intracerebral Hematoma Morphologic Appearance on Noncontrast Computed Tomography Predicts Significant Hematoma Expansion","type":"article-journal","volume":"46"},"uris":["http://www.mendeley.com/documents/?uuid=60c6d588-18b2-44b9-a725-efc5e593f30c"]}],"mendeley":{"formattedCitation":"&lt;sup&gt;22,35&lt;/sup&gt;","plainTextFormattedCitation":"22,35","previouslyFormattedCitation":"&lt;sup&gt;22,35&lt;/sup&gt;"},"properties":{"noteIndex":0},"schema":"https://github.com/citation-style-language/schema/raw/master/csl-citation.json"}</w:instrText>
      </w:r>
      <w:r w:rsidR="009134B6" w:rsidRPr="006A1593">
        <w:rPr>
          <w:sz w:val="24"/>
          <w:szCs w:val="24"/>
          <w:lang w:val="en-US"/>
        </w:rPr>
        <w:fldChar w:fldCharType="separate"/>
      </w:r>
      <w:r w:rsidR="000214BC" w:rsidRPr="006A1593">
        <w:rPr>
          <w:noProof/>
          <w:sz w:val="24"/>
          <w:szCs w:val="24"/>
          <w:vertAlign w:val="superscript"/>
          <w:lang w:val="en-US"/>
        </w:rPr>
        <w:t>22,35</w:t>
      </w:r>
      <w:r w:rsidR="009134B6" w:rsidRPr="006A1593">
        <w:rPr>
          <w:sz w:val="24"/>
          <w:szCs w:val="24"/>
          <w:lang w:val="en-US"/>
        </w:rPr>
        <w:fldChar w:fldCharType="end"/>
      </w:r>
      <w:r w:rsidRPr="006A1593">
        <w:rPr>
          <w:sz w:val="24"/>
          <w:szCs w:val="24"/>
          <w:lang w:val="en-US"/>
        </w:rPr>
        <w:t xml:space="preserve"> In the original article introducing this sign, irregular shape was defined as the presence of 2 or more irregularities at the edge of a hematoma</w:t>
      </w:r>
      <w:r w:rsidR="0058387E" w:rsidRPr="006A1593">
        <w:rPr>
          <w:sz w:val="24"/>
          <w:szCs w:val="24"/>
          <w:lang w:val="en-US"/>
        </w:rPr>
        <w:t xml:space="preserve">, </w:t>
      </w:r>
      <w:r w:rsidRPr="006A1593">
        <w:rPr>
          <w:sz w:val="24"/>
          <w:szCs w:val="24"/>
          <w:lang w:val="en-US"/>
        </w:rPr>
        <w:t>joined or separate.</w:t>
      </w:r>
      <w:r w:rsidR="009134B6" w:rsidRPr="006A1593">
        <w:rPr>
          <w:sz w:val="24"/>
          <w:szCs w:val="24"/>
          <w:lang w:val="en-US"/>
        </w:rPr>
        <w:fldChar w:fldCharType="begin" w:fldLock="1"/>
      </w:r>
      <w:r w:rsidR="00C73B4E" w:rsidRPr="006A1593">
        <w:rPr>
          <w:sz w:val="24"/>
          <w:szCs w:val="24"/>
          <w:lang w:val="en-US"/>
        </w:rPr>
        <w:instrText>ADDIN CSL_CITATION {"citationItems":[{"id":"ITEM-1","itemData":{"DOI":"10.1161/STROKEAHA.108.536888","ISBN":"1524-4628 (Electronic)","ISSN":"00392499","PMID":"19286590","abstract":"BACKGROUND AND PURPOSE: Intracerebral hemorrhage (ICH) growth predicts mortality and functional outcome. We hypothesized that irregular hematoma shape and density heterogeneity, reflecting active, multifocal bleeding or a variable bleeding time course, would predict ICH growth. METHODS: Three raters examined baseline sub-3-hour CT brain scans of 90 patients in the placebo arm of a Phase IIb trial of recombinant activated Factor VII in ICH. Each rater, blinded to growth data, independently applied novel 5-point categorical scales of density and shape to randomly presented baseline CT images of ICH. Density and shape were defined as either homogeneous/regular (Category 1 to 2) or heterogeneous/irregular (Category 3 to 5). Within- and between-rater reliability was determined for these scales. Growth was assessed as a continuous variable and using 3 binary definitions: (1) any ICH growth; (2) &gt;or=33% or &gt;or=12.5 mL ICH growth; and (3) radial growth &gt;1 mm between baseline and 24-hour CT scan. Patients were divided into tertiles of baseline ICH volume: \"small\" (0 to 10 mL), \"medium\" (10 to 25 mL), and \"large\" (25 to 106 mL). RESULTS: Inter- and intrarater agreements for the novel scales exceeded 85% (+/-1 category). Median growth was significantly higher in the large-volume group compared with the small group (P&lt;0.001) and in heterogeneous compared with homogeneous ICH (P=0.008). Median growth trended higher in irregular ICHs compared with regular ICHs (P=0.084). Small ICHs were more regularly shaped (43%) than medium (17%) and large (3%) ICHs (P&lt;0.001). Small ICHs were more homogeneous (73%) compared with medium (37%) and large (17%) ICHs (P&lt;0.001). Adjusting for baseline ICH volume and time to scan, density heterogeneity, but not shape irregularity, independently predicted ICH growth (P=0.046) on a continuous growth scale. CONCLUSIONS: Large ICHs were significantly more irregular in shape, heterogeneous in density, and had greater growth. Density heterogeneity independently predicted ICH growth using some definitions.","author":[{"dropping-particle":"","family":"Barras","given":"Christen D.","non-dropping-particle":"","parse-names":false,"suffix":""},{"dropping-particle":"","family":"Tress","given":"Brian M.","non-dropping-particle":"","parse-names":false,"suffix":""},{"dropping-particle":"","family":"Christensen","given":"Soren","non-dropping-particle":"","parse-names":false,"suffix":""},{"dropping-particle":"","family":"MacGregor","given":"Lachlan","non-dropping-particle":"","parse-names":false,"suffix":""},{"dropping-particle":"","family":"Collins","given":"Mamie","non-dropping-particle":"","parse-names":false,"suffix":""},{"dropping-particle":"","family":"Desmond","given":"Patricia M.","non-dropping-particle":"","parse-names":false,"suffix":""},{"dropping-particle":"","family":"Skolnick","given":"Brett E.","non-dropping-particle":"","parse-names":false,"suffix":""},{"dropping-particle":"","family":"Mayer","given":"Stephan a.","non-dropping-particle":"","parse-names":false,"suffix":""},{"dropping-particle":"","family":"Broderick","given":"Joseph P.","non-dropping-particle":"","parse-names":false,"suffix":""},{"dropping-particle":"","family":"Diringer","given":"Michael N.","non-dropping-particle":"","parse-names":false,"suffix":""},{"dropping-particle":"","family":"Steiner","given":"Thorsten","non-dropping-particle":"","parse-names":false,"suffix":""},{"dropping-particle":"","family":"Davis","given":"Stephen M.","non-dropping-particle":"","parse-names":false,"suffix":""}],"container-title":"Stroke","id":"ITEM-1","issue":"4","issued":{"date-parts":[["2009"]]},"page":"1325-1331","title":"Density and shape as CT predictors of intracerebral hemorrhage growth","type":"article-journal","volume":"40"},"uris":["http://www.mendeley.com/documents/?uuid=906e5a87-c664-42bc-a823-07f07c0e04d2"]}],"mendeley":{"formattedCitation":"&lt;sup&gt;22&lt;/sup&gt;","plainTextFormattedCitation":"22","previouslyFormattedCitation":"&lt;sup&gt;22&lt;/sup&gt;"},"properties":{"noteIndex":0},"schema":"https://github.com/citation-style-language/schema/raw/master/csl-citation.json"}</w:instrText>
      </w:r>
      <w:r w:rsidR="009134B6" w:rsidRPr="006A1593">
        <w:rPr>
          <w:sz w:val="24"/>
          <w:szCs w:val="24"/>
          <w:lang w:val="en-US"/>
        </w:rPr>
        <w:fldChar w:fldCharType="separate"/>
      </w:r>
      <w:r w:rsidR="00C73B4E" w:rsidRPr="006A1593">
        <w:rPr>
          <w:noProof/>
          <w:sz w:val="24"/>
          <w:szCs w:val="24"/>
          <w:vertAlign w:val="superscript"/>
          <w:lang w:val="en-US"/>
        </w:rPr>
        <w:t>22</w:t>
      </w:r>
      <w:r w:rsidR="009134B6" w:rsidRPr="006A1593">
        <w:rPr>
          <w:sz w:val="24"/>
          <w:szCs w:val="24"/>
          <w:lang w:val="en-US"/>
        </w:rPr>
        <w:fldChar w:fldCharType="end"/>
      </w:r>
      <w:r w:rsidRPr="006A1593">
        <w:rPr>
          <w:sz w:val="24"/>
          <w:szCs w:val="24"/>
          <w:lang w:val="en-US"/>
        </w:rPr>
        <w:t xml:space="preserve"> This parameter is assessed on the axial slice showing the largest </w:t>
      </w:r>
      <w:r w:rsidR="0058387E" w:rsidRPr="006A1593">
        <w:rPr>
          <w:sz w:val="24"/>
          <w:szCs w:val="24"/>
          <w:lang w:val="en-US"/>
        </w:rPr>
        <w:t xml:space="preserve">hematoma </w:t>
      </w:r>
      <w:r w:rsidRPr="006A1593">
        <w:rPr>
          <w:sz w:val="24"/>
          <w:szCs w:val="24"/>
          <w:lang w:val="en-US"/>
        </w:rPr>
        <w:t>cross-sectional area. Irregular ICH are defined as those with ratings on the Barras shape scale of III, IV or V.</w:t>
      </w:r>
    </w:p>
    <w:p w:rsidR="00460669" w:rsidRPr="006A1593" w:rsidRDefault="00460669">
      <w:pPr>
        <w:pStyle w:val="Heading2"/>
        <w:rPr>
          <w:rFonts w:ascii="Times New Roman" w:hAnsi="Times New Roman"/>
          <w:color w:val="FF0000"/>
          <w:sz w:val="24"/>
          <w:szCs w:val="24"/>
          <w:u w:val="none"/>
          <w:lang w:val="en-US"/>
        </w:rPr>
      </w:pPr>
      <w:r w:rsidRPr="006A1593">
        <w:rPr>
          <w:rFonts w:ascii="Times New Roman" w:hAnsi="Times New Roman"/>
          <w:sz w:val="24"/>
          <w:szCs w:val="24"/>
          <w:u w:val="none"/>
          <w:lang w:val="en-US"/>
        </w:rPr>
        <w:t>Island Sign</w:t>
      </w:r>
    </w:p>
    <w:p w:rsidR="00460669" w:rsidRPr="006A1593" w:rsidRDefault="00460669">
      <w:pPr>
        <w:rPr>
          <w:sz w:val="24"/>
          <w:szCs w:val="24"/>
          <w:lang w:val="en-US"/>
        </w:rPr>
      </w:pPr>
      <w:r w:rsidRPr="006A1593">
        <w:rPr>
          <w:sz w:val="24"/>
          <w:szCs w:val="24"/>
          <w:lang w:val="en-US"/>
        </w:rPr>
        <w:t>The island sign consists of (1) ≥3 scattered small hematomas all separate</w:t>
      </w:r>
      <w:r w:rsidR="00E20679" w:rsidRPr="006A1593">
        <w:rPr>
          <w:sz w:val="24"/>
          <w:szCs w:val="24"/>
          <w:lang w:val="en-US"/>
        </w:rPr>
        <w:t>d</w:t>
      </w:r>
      <w:r w:rsidRPr="006A1593">
        <w:rPr>
          <w:sz w:val="24"/>
          <w:szCs w:val="24"/>
          <w:lang w:val="en-US"/>
        </w:rPr>
        <w:t xml:space="preserve"> from the main hematoma or (2) ≥4 small hematomas some or all of which may be connected with the main hemorrhage</w:t>
      </w:r>
      <w:r w:rsidR="00BC2A74" w:rsidRPr="006A1593">
        <w:rPr>
          <w:sz w:val="24"/>
          <w:szCs w:val="24"/>
          <w:lang w:val="en-US"/>
        </w:rPr>
        <w:t xml:space="preserve"> on one axial slice of hematoma</w:t>
      </w:r>
      <w:r w:rsidRPr="006A1593">
        <w:rPr>
          <w:sz w:val="24"/>
          <w:szCs w:val="24"/>
          <w:lang w:val="en-US"/>
        </w:rPr>
        <w:t>.</w:t>
      </w:r>
      <w:r w:rsidR="009134B6" w:rsidRPr="006A1593">
        <w:rPr>
          <w:sz w:val="24"/>
          <w:szCs w:val="24"/>
          <w:lang w:val="en-US"/>
        </w:rPr>
        <w:fldChar w:fldCharType="begin" w:fldLock="1"/>
      </w:r>
      <w:r w:rsidR="00A048E7" w:rsidRPr="006A1593">
        <w:rPr>
          <w:sz w:val="24"/>
          <w:szCs w:val="24"/>
          <w:lang w:val="en-US"/>
        </w:rPr>
        <w:instrText>ADDIN CSL_CITATION {"citationItems":[{"id":"ITEM-1","itemData":{"DOI":"10.1161/STROKEAHA.117.017985","ISSN":"15244628","PMID":"29018128","abstract":"BACKGROUND AND PURPOSE The aim of the study was to investigate the usefulness of the computed tomography (CT) island sign for predicting early hematoma growth and poor functional outcome. METHODS We included patients with spontaneous intracerebral hemorrhage (ICH) who had undergone baseline CT within 6 hours after ICH symptom onset in our hospital between July 2011 and September 2016. Two readers independently assessed the presence of the island sign on the admission noncontrast CT scan. Multivariable logistic regression analysis was used to analyze the association between the presence of the island sign on noncontrast admission CT and early hematoma growth and functional outcome. RESULTS A total of 252 patients who met the inclusion criteria were analyzed. Among them, 41 (16.3%) patients had the island sign on baseline noncontrast CT scans. In addition, the island sign was observed in 38 of 85 patients (44.7%) with hematoma growth. Multivariate logistic regression analysis demonstrated that the time to baseline CT scan, initial hematoma volume, and the presence of the island sign on baseline CT scan independently predicted early hematoma growth. The sensitivity of the island sign for predicting hematoma expansion was 44.7%, specificity 98.2%, positive predictive value 92.7%, and negative predictive value 77.7%. After adjusting for the patients' age, baseline Glasgow Coma Scale score, presence of intraventricular hemorrhage, presence of subarachnoid hemorrhage, admission systolic blood pressure, baseline ICH volume, and infratentorial location, the presence of the island sign (odds ratio, 3.51; 95% confidence interval, 1.26-9.81; P=0.017) remained an independent predictor of poor outcome in patients with ICH. CONCLUSIONS The island sign is a reliable CT imaging marker that independently predicts hematoma expansion and poor outcome in patients with ICH. The noncontrast CT island sign may serve as a potential marker for therapeutic intervention.","author":[{"dropping-particle":"","family":"Li","given":"Qi","non-dropping-particle":"","parse-names":false,"suffix":""},{"dropping-particle":"","family":"Liu","given":"Qing Jun","non-dropping-particle":"","parse-names":false,"suffix":""},{"dropping-particle":"","family":"Yang","given":"Wen Song","non-dropping-particle":"","parse-names":false,"suffix":""},{"dropping-particle":"","family":"Wang","given":"Xing Chen","non-dropping-particle":"","parse-names":false,"suffix":""},{"dropping-particle":"","family":"Zhao","given":"Li Bo","non-dropping-particle":"","parse-names":false,"suffix":""},{"dropping-particle":"","family":"Xiong","given":"Xin","non-dropping-particle":"","parse-names":false,"suffix":""},{"dropping-particle":"","family":"Li","given":"Rui","non-dropping-particle":"","parse-names":false,"suffix":""},{"dropping-particle":"","family":"Cao","given":"Du","non-dropping-particle":"","parse-names":false,"suffix":""},{"dropping-particle":"","family":"Zhu","given":"Dan","non-dropping-particle":"","parse-names":false,"suffix":""},{"dropping-particle":"","family":"Wei","given":"Xiao","non-dropping-particle":"","parse-names":false,"suffix":""},{"dropping-particle":"","family":"Xie","given":"Peng","non-dropping-particle":"","parse-names":false,"suffix":""}],"container-title":"Stroke","id":"ITEM-1","issue":"11","issued":{"date-parts":[["2017"]]},"page":"3019-3025","title":"Island sign: An imaging predictor for early hematoma expansion and poor outcome in patients with intracerebral hemorrhage","type":"article-journal","volume":"48"},"uris":["http://www.mendeley.com/documents/?uuid=d1ce141e-be40-4ac8-92cd-ab29ab502cb7"]},{"id":"ITEM-2","itemData":{"DOI":"10.1016/j.wneu.2018.07.251","ISSN":"18788750","PMID":"30092471","abstract":"OBJECTIVES The prognostic value of admission serum glucose for early hematoma growth in patients with intracranial hemorrhage remains controversial. Island sign is a novel imaging predictor for early hematoma growth, implying multifocal active bleeding. The aim of this study is to investigate the potential associations between hyperglycemia and early hematoma expansion in patients with intracranial hemorrhage with or without island sign. PATIENTS AND METHODS Clinical characteristics and radiologic parameters were retrospectively obtained from the electronic medical record. Admission blood glucose was measured within 24 hours from disease onset. Hematoma expansion and island sign were estimated by 2 experienced reviewers from initial and follow-up computed tomography scans. Multivariate logistic regression analyses were used to explore the associations of hematoma expansion and island sign on other clinical variables. RESULTS In total, 187 patients were enrolled in current study; 61 patients were presented to have early hematoma expansion, whereas 32 exhibited island sign. The average blood glucose level was 7.64 mmol/L among all patients. The multivariate logistic regression analyses revealed that the time from ictus to initial computed tomography scan, Glasgow Coma Scale score on admission, hematoma volume, island sign, and hyperglycemia were associated with hematoma expansion, whereas only admission serum glucose and hematoma size were associated with island sign. CONCLUSIONS Admission serum glucose is associated with hematoma growth and prevalence of island sign, respectively. These results indicated that elevated blood glucose level plays a pathological role in active bleeding. Further studies concerning exact molecular signal pathway are urgently required.","author":[{"dropping-particle":"","family":"Zhang","given":"Fan","non-dropping-particle":"","parse-names":false,"suffix":""},{"dropping-particle":"","family":"Li","given":"Hao","non-dropping-particle":"","parse-names":false,"suffix":""},{"dropping-particle":"","family":"Qian","given":"Juan","non-dropping-particle":"","parse-names":false,"suffix":""},{"dropping-particle":"","family":"Zhang","given":"Si","non-dropping-particle":"","parse-names":false,"suffix":""},{"dropping-particle":"","family":"Tao","given":"Chuanyuan","non-dropping-particle":"","parse-names":false,"suffix":""},{"dropping-particle":"","family":"You","given":"Chao","non-dropping-particle":"","parse-names":false,"suffix":""},{"dropping-particle":"","family":"Yang","given":"Mu","non-dropping-particle":"","parse-names":false,"suffix":""}],"container-title":"World Neurosurgery","id":"ITEM-2","issued":{"date-parts":[["2018","8","6"]]},"title":"Hyperglycemia Is Associated with Island Sign in Patients with Intracerebral Hemorrhage","type":"article-journal"},"uris":["http://www.mendeley.com/documents/?uuid=0fcafe7c-7b48-351f-9315-7a173da2589c"]},{"id":"ITEM-3","itemData":{"DOI":"10.1016/j.wneu.2018.08.056","ISSN":"18788750","PMID":"30144620","abstract":"BACKGROUND The island sign is a novel imaging predictor for early hematoma growth, implying multifocal active bleeding. The prognostic value of the island sign for long-term outcome in patients with intracranial hemorrhage (ICH) remains unrevealed. The aim of this study is to investigate associations between the island land and long-term prognosis in patients with ICH. METHODS Both clinical characteristics and radiologic parameters were retrospectively obtained from electronic medical records. According to the initial and follow-up computed tomography scans of patients, hematoma expansion and the island sign were determined independently with 2 experienced physicians. Multivariate logistic regression analyses were used to explore the associations of hematoma expansion, 1-year poor outcome, and 1-year death on other clinical variables. RESULTS A total of 322 patients were included, and 126 of them presented with early hematoma expansion, with 81 exhibiting the island sign. There were 116 patients who died, and 157 patients with ICH had poor outcome at the first year after onset. The multivariate logistic regression analyses revealed that initial Glasgow Coma Scale score, hematoma size, and presence of intraventricular hemorrhage and island sign were strongly associated with long-term poor outcomes. CONCLUSIONS The island sign is an easy-to-use and novel imaging marker which predicts both early hematoma expansion and long-term poor prognosis.","author":[{"dropping-particle":"","family":"Zhang","given":"Fan","non-dropping-particle":"","parse-names":false,"suffix":""},{"dropping-particle":"","family":"Li","given":"Hao","non-dropping-particle":"","parse-names":false,"suffix":""},{"dropping-particle":"","family":"Qian","given":"Juan","non-dropping-particle":"","parse-names":false,"suffix":""},{"dropping-particle":"","family":"Zhang","given":"Si","non-dropping-particle":"","parse-names":false,"suffix":""},{"dropping-particle":"","family":"Tao","given":"Chuanyan","non-dropping-particle":"","parse-names":false,"suffix":""},{"dropping-particle":"","family":"You","given":"Chao","non-dropping-particle":"","parse-names":false,"suffix":""},{"dropping-particle":"","family":"Yang","given":"Mu","non-dropping-particle":"","parse-names":false,"suffix":""}],"container-title":"World Neurosurgery","id":"ITEM-3","issued":{"date-parts":[["2018","8","23"]]},"title":"Island Sign Predicts Long-Term Poor Outcome and Mortality in Patients with Intracerebral Hemorrhage","type":"article-journal"},"uris":["http://www.mendeley.com/documents/?uuid=9a559e34-d728-3a66-9fa5-8cf0f988771c"]}],"mendeley":{"formattedCitation":"&lt;sup&gt;36–38&lt;/sup&gt;","plainTextFormattedCitation":"36–38","previouslyFormattedCitation":"&lt;sup&gt;36–38&lt;/sup&gt;"},"properties":{"noteIndex":0},"schema":"https://github.com/citation-style-language/schema/raw/master/csl-citation.json"}</w:instrText>
      </w:r>
      <w:r w:rsidR="009134B6" w:rsidRPr="006A1593">
        <w:rPr>
          <w:sz w:val="24"/>
          <w:szCs w:val="24"/>
          <w:lang w:val="en-US"/>
        </w:rPr>
        <w:fldChar w:fldCharType="separate"/>
      </w:r>
      <w:r w:rsidR="000214BC" w:rsidRPr="006A1593">
        <w:rPr>
          <w:noProof/>
          <w:sz w:val="24"/>
          <w:szCs w:val="24"/>
          <w:vertAlign w:val="superscript"/>
          <w:lang w:val="en-US"/>
        </w:rPr>
        <w:t>36–38</w:t>
      </w:r>
      <w:r w:rsidR="009134B6" w:rsidRPr="006A1593">
        <w:rPr>
          <w:sz w:val="24"/>
          <w:szCs w:val="24"/>
          <w:lang w:val="en-US"/>
        </w:rPr>
        <w:fldChar w:fldCharType="end"/>
      </w:r>
      <w:r w:rsidRPr="006A1593">
        <w:rPr>
          <w:sz w:val="24"/>
          <w:szCs w:val="24"/>
          <w:lang w:val="en-US"/>
        </w:rPr>
        <w:t xml:space="preserve"> The scattered small hematomas (separate islands) can have a round or oval morphology and are disconnected from the main hematoma. The small hematomas that connect with the main hematoma (connected islands) should be bubble-like or sprout-like but cannot be lobulated</w:t>
      </w:r>
      <w:r w:rsidR="003E36FC" w:rsidRPr="006A1593">
        <w:rPr>
          <w:sz w:val="24"/>
          <w:szCs w:val="24"/>
          <w:lang w:val="en-US"/>
        </w:rPr>
        <w:t>, otherwise it may be confused with margins irregularity</w:t>
      </w:r>
      <w:r w:rsidRPr="006A1593">
        <w:rPr>
          <w:sz w:val="24"/>
          <w:szCs w:val="24"/>
          <w:lang w:val="en-US"/>
        </w:rPr>
        <w:t xml:space="preserve">. </w:t>
      </w:r>
    </w:p>
    <w:p w:rsidR="00460669" w:rsidRPr="006A1593" w:rsidRDefault="00460669">
      <w:pPr>
        <w:pStyle w:val="Heading2"/>
        <w:rPr>
          <w:rFonts w:ascii="Times New Roman" w:hAnsi="Times New Roman"/>
          <w:color w:val="FF0000"/>
          <w:sz w:val="24"/>
          <w:szCs w:val="24"/>
          <w:u w:val="none"/>
          <w:lang w:val="en-US"/>
        </w:rPr>
      </w:pPr>
      <w:r w:rsidRPr="006A1593">
        <w:rPr>
          <w:rFonts w:ascii="Times New Roman" w:hAnsi="Times New Roman"/>
          <w:sz w:val="24"/>
          <w:szCs w:val="24"/>
          <w:u w:val="none"/>
          <w:lang w:val="en-US"/>
        </w:rPr>
        <w:t xml:space="preserve">Satellite Sign </w:t>
      </w:r>
    </w:p>
    <w:p w:rsidR="00460669" w:rsidRPr="006A1593" w:rsidRDefault="00460669">
      <w:pPr>
        <w:rPr>
          <w:sz w:val="24"/>
          <w:szCs w:val="24"/>
          <w:lang w:val="en-US"/>
        </w:rPr>
      </w:pPr>
      <w:r w:rsidRPr="006A1593">
        <w:rPr>
          <w:sz w:val="24"/>
          <w:szCs w:val="24"/>
          <w:lang w:val="en-US"/>
        </w:rPr>
        <w:t>The satellite sign depicts a hyperdense small hematoma (maximum diameter &lt;10 mm) that is clearly separated from the main hemorrhage in at least one CT slice.</w:t>
      </w:r>
      <w:r w:rsidR="009134B6" w:rsidRPr="006A1593">
        <w:rPr>
          <w:sz w:val="24"/>
          <w:szCs w:val="24"/>
          <w:lang w:val="en-US"/>
        </w:rPr>
        <w:fldChar w:fldCharType="begin" w:fldLock="1"/>
      </w:r>
      <w:r w:rsidR="00A048E7" w:rsidRPr="006A1593">
        <w:rPr>
          <w:sz w:val="24"/>
          <w:szCs w:val="24"/>
          <w:lang w:val="en-US"/>
        </w:rPr>
        <w:instrText>ADDIN CSL_CITATION {"citationItems":[{"id":"ITEM-1","itemData":{"DOI":"10.1016/j.clineuro.2017.09.008","ISSN":"03038467","PMID":"28946021","abstract":"OBJECTIVES Hematoma expansion is related to poor outcome in spontaneous intracerebral hemorrhage (ICH). Recently, a non-enhanced computed tomography (CT) based finding, termed the 'satellite sign', was reported to be a novel predictor for poor outcome in spontaneous ICH. However, it is still unclear whether the presence of the satellite sign is related to hematoma expansion. MATERIAL AND METHODS Initial computed tomography angiography (CTA) was conducted within 6h after ictus. Satellite sign on non-enhanced CT and spot sign on CTA were detected by two independent reviewers. The sensitivity and specificity of both satellite sign and spot sign were calculated. Receiver-operator analysis was conducted to evaluate their predictive accuracy for hematoma expansion. RESULTS This study included 153 patients. Satellite sign was detected in 58 (37.91%) patients and spot sign was detected in 38 (24.84%) patients. Among 37 patients with hematoma expansion, 22 (59.46%) had satellite sign and 23 (62.16%) had spot sign. The sensitivity and specificity of satellite sign for prediction of hematoma expansion were 59.46% and 68.97%, respectively. The sensitivity and specificity of spot sign were 62.16% and 87.07%, respectively. The area under the curve (AUC) of satellite sign was 0.642 and the AUC of spot sign was 0.746. (P=0.157) CONCLUSION: Our results suggest that the satellite sign is an independent predictor for hematoma expansion in spontaneous ICH. Although spot sign has the higher predictive accuracy, satellite sign is still an acceptable predictor for hematoma expansion when CTA is unavailable.","author":[{"dropping-particle":"","family":"Yu","given":"Zhiyuan","non-dropping-particle":"","parse-names":false,"suffix":""},{"dropping-particle":"","family":"Zheng","given":"Jun","non-dropping-particle":"","parse-names":false,"suffix":""},{"dropping-particle":"","family":"Ali","given":"Hasan","non-dropping-particle":"","parse-names":false,"suffix":""},{"dropping-particle":"","family":"Guo","given":"Rui","non-dropping-particle":"","parse-names":false,"suffix":""},{"dropping-particle":"","family":"Li","given":"Mou","non-dropping-particle":"","parse-names":false,"suffix":""},{"dropping-particle":"","family":"Wang","given":"Xiaoze","non-dropping-particle":"","parse-names":false,"suffix":""},{"dropping-particle":"","family":"Ma","given":"Lu","non-dropping-particle":"","parse-names":false,"suffix":""},{"dropping-particle":"","family":"Li","given":"Hao","non-dropping-particle":"","parse-names":false,"suffix":""},{"dropping-particle":"","family":"You","given":"Chao","non-dropping-particle":"","parse-names":false,"suffix":""}],"container-title":"Clinical Neurology and Neurosurgery","id":"ITEM-1","issued":{"date-parts":[["2017","11"]]},"page":"67-71","title":"Significance of satellite sign and spot sign in predicting hematoma expansion in spontaneous intracerebral hemorrhage","type":"article-journal","volume":"162"},"uris":["http://www.mendeley.com/documents/?uuid=d86d099a-816b-3274-8bb9-c1989eb4e143"]}],"mendeley":{"formattedCitation":"&lt;sup&gt;39&lt;/sup&gt;","plainTextFormattedCitation":"39","previouslyFormattedCitation":"&lt;sup&gt;39&lt;/sup&gt;"},"properties":{"noteIndex":0},"schema":"https://github.com/citation-style-language/schema/raw/master/csl-citation.json"}</w:instrText>
      </w:r>
      <w:r w:rsidR="009134B6" w:rsidRPr="006A1593">
        <w:rPr>
          <w:sz w:val="24"/>
          <w:szCs w:val="24"/>
          <w:lang w:val="en-US"/>
        </w:rPr>
        <w:fldChar w:fldCharType="separate"/>
      </w:r>
      <w:r w:rsidR="000214BC" w:rsidRPr="006A1593">
        <w:rPr>
          <w:noProof/>
          <w:sz w:val="24"/>
          <w:szCs w:val="24"/>
          <w:vertAlign w:val="superscript"/>
          <w:lang w:val="en-US"/>
        </w:rPr>
        <w:t>39</w:t>
      </w:r>
      <w:r w:rsidR="009134B6" w:rsidRPr="006A1593">
        <w:rPr>
          <w:sz w:val="24"/>
          <w:szCs w:val="24"/>
          <w:lang w:val="en-US"/>
        </w:rPr>
        <w:fldChar w:fldCharType="end"/>
      </w:r>
      <w:r w:rsidRPr="006A1593">
        <w:rPr>
          <w:sz w:val="24"/>
          <w:szCs w:val="24"/>
          <w:lang w:val="en-US"/>
        </w:rPr>
        <w:t xml:space="preserve"> The satellite sign has to be close to the main he</w:t>
      </w:r>
      <w:r w:rsidR="009C4B86" w:rsidRPr="006A1593">
        <w:rPr>
          <w:sz w:val="24"/>
          <w:szCs w:val="24"/>
          <w:lang w:val="en-US"/>
        </w:rPr>
        <w:t>matoma (maximum distance</w:t>
      </w:r>
      <w:r w:rsidRPr="006A1593">
        <w:rPr>
          <w:sz w:val="24"/>
          <w:szCs w:val="24"/>
          <w:lang w:val="en-US"/>
        </w:rPr>
        <w:t xml:space="preserve"> 20 mm) and can have any s</w:t>
      </w:r>
      <w:r w:rsidR="00772CCC" w:rsidRPr="006A1593">
        <w:rPr>
          <w:sz w:val="24"/>
          <w:szCs w:val="24"/>
          <w:lang w:val="en-US"/>
        </w:rPr>
        <w:t>hape. Intraventricular hemorrhage (IVH)</w:t>
      </w:r>
      <w:r w:rsidRPr="006A1593">
        <w:rPr>
          <w:sz w:val="24"/>
          <w:szCs w:val="24"/>
          <w:lang w:val="en-US"/>
        </w:rPr>
        <w:t xml:space="preserve"> or subarachnoid extension of the main hematoma do not qualify as satellite sign. </w:t>
      </w:r>
      <w:r w:rsidR="002107A0" w:rsidRPr="006A1593">
        <w:rPr>
          <w:sz w:val="24"/>
          <w:szCs w:val="24"/>
          <w:lang w:val="en-US"/>
        </w:rPr>
        <w:t>Satellite sign should not be confused with multiple simultaneous spontaneous hemorrhages seen in 1-2% of ICH cases, usually located in bilateral deep structures.</w:t>
      </w:r>
      <w:r w:rsidR="009134B6" w:rsidRPr="006A1593">
        <w:rPr>
          <w:sz w:val="24"/>
          <w:szCs w:val="24"/>
          <w:lang w:val="en-US"/>
        </w:rPr>
        <w:fldChar w:fldCharType="begin" w:fldLock="1"/>
      </w:r>
      <w:r w:rsidR="00A048E7" w:rsidRPr="006A1593">
        <w:rPr>
          <w:sz w:val="24"/>
          <w:szCs w:val="24"/>
          <w:lang w:val="en-US"/>
        </w:rPr>
        <w:instrText>ADDIN CSL_CITATION {"citationItems":[{"id":"ITEM-1","itemData":{"DOI":"10.7461/jcen.2014.16.2.104","ISSN":"2234-8565","PMID":"25045650","abstract":"Simultaneous occurrence of intracerebral hemorrhage (ICH) in different arterial territories is an uncommon event. We report on two cases of multiple spontaneous simultaneous ICH for which we could find no specific cause. A 73-year-old man, with no related medical history, was admitted to the hospital with simultaneous bithalamic ICH, and subsequently died of recurrent pneumonia. Second patient was a 60-year-old man who presented with simultaneous ICH in the pons and thalamus; he died of recurrent bleeding. We review the possible pathological mechanisms, clinical and radiologic features of simultaneous multiple ICH.","author":[{"dropping-particle":"","family":"Seo","given":"Jin-Suk","non-dropping-particle":"","parse-names":false,"suffix":""},{"dropping-particle":"","family":"Nam","given":"Taek-Kyun","non-dropping-particle":"","parse-names":false,"suffix":""},{"dropping-particle":"","family":"Kwon","given":"Jeong-Taik","non-dropping-particle":"","parse-names":false,"suffix":""},{"dropping-particle":"","family":"Park","given":"Yong-Sook","non-dropping-particle":"","parse-names":false,"suffix":""}],"container-title":"Journal of cerebrovascular and endovascular neurosurgery","id":"ITEM-1","issue":"2","issued":{"date-parts":[["2014","6"]]},"page":"104-11","publisher":"Korean Society of Cerebrovascular Surgeons","title":"Multiple spontaneous simultaneous intracerebral hemorrhages.","type":"article-journal","volume":"16"},"uris":["http://www.mendeley.com/documents/?uuid=712dfb38-a831-3fa2-93c5-319ccc284536"]}],"mendeley":{"formattedCitation":"&lt;sup&gt;40&lt;/sup&gt;","plainTextFormattedCitation":"40","previouslyFormattedCitation":"&lt;sup&gt;40&lt;/sup&gt;"},"properties":{"noteIndex":0},"schema":"https://github.com/citation-style-language/schema/raw/master/csl-citation.json"}</w:instrText>
      </w:r>
      <w:r w:rsidR="009134B6" w:rsidRPr="006A1593">
        <w:rPr>
          <w:sz w:val="24"/>
          <w:szCs w:val="24"/>
          <w:lang w:val="en-US"/>
        </w:rPr>
        <w:fldChar w:fldCharType="separate"/>
      </w:r>
      <w:r w:rsidR="000214BC" w:rsidRPr="006A1593">
        <w:rPr>
          <w:noProof/>
          <w:sz w:val="24"/>
          <w:szCs w:val="24"/>
          <w:vertAlign w:val="superscript"/>
          <w:lang w:val="en-US"/>
        </w:rPr>
        <w:t>40</w:t>
      </w:r>
      <w:r w:rsidR="009134B6" w:rsidRPr="006A1593">
        <w:rPr>
          <w:sz w:val="24"/>
          <w:szCs w:val="24"/>
          <w:lang w:val="en-US"/>
        </w:rPr>
        <w:fldChar w:fldCharType="end"/>
      </w:r>
    </w:p>
    <w:p w:rsidR="00460669" w:rsidRPr="006A1593" w:rsidRDefault="00460669">
      <w:pPr>
        <w:pStyle w:val="Heading2"/>
        <w:rPr>
          <w:rFonts w:ascii="Times New Roman" w:hAnsi="Times New Roman"/>
          <w:color w:val="FF0000"/>
          <w:sz w:val="24"/>
          <w:szCs w:val="24"/>
          <w:u w:val="none"/>
          <w:lang w:val="en-US"/>
        </w:rPr>
      </w:pPr>
      <w:r w:rsidRPr="006A1593">
        <w:rPr>
          <w:rFonts w:ascii="Times New Roman" w:hAnsi="Times New Roman"/>
          <w:sz w:val="24"/>
          <w:szCs w:val="24"/>
          <w:u w:val="none"/>
          <w:lang w:val="en-US"/>
        </w:rPr>
        <w:t xml:space="preserve">Overlap between different signs </w:t>
      </w:r>
    </w:p>
    <w:p w:rsidR="00E26AB2" w:rsidRPr="006A1593" w:rsidRDefault="00E26AB2" w:rsidP="00E26AB2">
      <w:pPr>
        <w:rPr>
          <w:sz w:val="24"/>
          <w:szCs w:val="24"/>
          <w:lang w:val="en-US"/>
        </w:rPr>
      </w:pPr>
      <w:r w:rsidRPr="006A1593">
        <w:rPr>
          <w:sz w:val="24"/>
          <w:szCs w:val="24"/>
          <w:lang w:val="en-US"/>
        </w:rPr>
        <w:t xml:space="preserve">The nomenclature </w:t>
      </w:r>
      <w:r w:rsidR="00E20679" w:rsidRPr="006A1593">
        <w:rPr>
          <w:sz w:val="24"/>
          <w:szCs w:val="24"/>
          <w:lang w:val="en-US"/>
        </w:rPr>
        <w:t xml:space="preserve">and </w:t>
      </w:r>
      <w:r w:rsidRPr="006A1593">
        <w:rPr>
          <w:sz w:val="24"/>
          <w:szCs w:val="24"/>
          <w:lang w:val="en-US"/>
        </w:rPr>
        <w:t>overlap between different ICH shape and density features is illustrated through a Venn diagram in figure 2.</w:t>
      </w:r>
    </w:p>
    <w:p w:rsidR="00460669" w:rsidRPr="006A1593" w:rsidRDefault="00460669">
      <w:pPr>
        <w:pStyle w:val="Heading3"/>
        <w:rPr>
          <w:rFonts w:ascii="Times New Roman" w:hAnsi="Times New Roman"/>
          <w:sz w:val="24"/>
          <w:szCs w:val="24"/>
          <w:lang w:val="en-US"/>
        </w:rPr>
      </w:pPr>
      <w:r w:rsidRPr="006A1593">
        <w:rPr>
          <w:rFonts w:ascii="Times New Roman" w:hAnsi="Times New Roman"/>
          <w:sz w:val="24"/>
          <w:szCs w:val="24"/>
          <w:lang w:val="en-US"/>
        </w:rPr>
        <w:t>Overlap between ICH density features</w:t>
      </w:r>
    </w:p>
    <w:p w:rsidR="00460669" w:rsidRPr="006A1593" w:rsidRDefault="00460669">
      <w:pPr>
        <w:numPr>
          <w:ilvl w:val="0"/>
          <w:numId w:val="1"/>
        </w:numPr>
        <w:rPr>
          <w:sz w:val="24"/>
          <w:szCs w:val="24"/>
          <w:lang w:val="en-US"/>
        </w:rPr>
      </w:pPr>
      <w:r w:rsidRPr="006A1593">
        <w:rPr>
          <w:sz w:val="24"/>
          <w:szCs w:val="24"/>
          <w:lang w:val="en-US"/>
        </w:rPr>
        <w:t>All swirl signs that are not connected with the brain parenchyma surrounding the hemorrhage qualify also for hypodensities.</w:t>
      </w:r>
    </w:p>
    <w:p w:rsidR="00460669" w:rsidRPr="006A1593" w:rsidRDefault="00460669">
      <w:pPr>
        <w:numPr>
          <w:ilvl w:val="0"/>
          <w:numId w:val="1"/>
        </w:numPr>
        <w:rPr>
          <w:sz w:val="24"/>
          <w:szCs w:val="24"/>
          <w:lang w:val="en-US"/>
        </w:rPr>
      </w:pPr>
      <w:r w:rsidRPr="006A1593">
        <w:rPr>
          <w:sz w:val="24"/>
          <w:szCs w:val="24"/>
          <w:lang w:val="en-US"/>
        </w:rPr>
        <w:t xml:space="preserve">All black hole signs are also swirl signs and hypodensities. The inverse may not be true because hypoattenuating regions encapsulated in the hemorrhage are hypodensities positive </w:t>
      </w:r>
      <w:r w:rsidRPr="006A1593">
        <w:rPr>
          <w:sz w:val="24"/>
          <w:szCs w:val="24"/>
          <w:lang w:val="en-US"/>
        </w:rPr>
        <w:lastRenderedPageBreak/>
        <w:t>but do not qualify as black hole signs if the density difference between the hypodense region and the surrounding hemorrhage does not reach the 28 HU cutoff. Likewise, hypodense regions that connect with the outer surface are swirl positive but cannot be defined as black hole signs.</w:t>
      </w:r>
    </w:p>
    <w:p w:rsidR="00460669" w:rsidRPr="006A1593" w:rsidRDefault="00460669">
      <w:pPr>
        <w:numPr>
          <w:ilvl w:val="0"/>
          <w:numId w:val="1"/>
        </w:numPr>
        <w:rPr>
          <w:sz w:val="24"/>
          <w:szCs w:val="24"/>
          <w:lang w:val="en-US"/>
        </w:rPr>
      </w:pPr>
      <w:r w:rsidRPr="006A1593">
        <w:rPr>
          <w:sz w:val="24"/>
          <w:szCs w:val="24"/>
          <w:lang w:val="en-US"/>
        </w:rPr>
        <w:t xml:space="preserve">Fluid levels that are encapsulated in the hemorrhage without any connection with </w:t>
      </w:r>
      <w:r w:rsidR="00021E52" w:rsidRPr="006A1593">
        <w:rPr>
          <w:sz w:val="24"/>
          <w:szCs w:val="24"/>
          <w:lang w:val="en-US"/>
        </w:rPr>
        <w:t>hematoma margins</w:t>
      </w:r>
      <w:r w:rsidRPr="006A1593">
        <w:rPr>
          <w:sz w:val="24"/>
          <w:szCs w:val="24"/>
          <w:lang w:val="en-US"/>
        </w:rPr>
        <w:t xml:space="preserve"> also qualify as hypodensities.</w:t>
      </w:r>
    </w:p>
    <w:p w:rsidR="00460669" w:rsidRPr="006A1593" w:rsidRDefault="00460669">
      <w:pPr>
        <w:numPr>
          <w:ilvl w:val="0"/>
          <w:numId w:val="1"/>
        </w:numPr>
        <w:rPr>
          <w:sz w:val="24"/>
          <w:szCs w:val="24"/>
          <w:lang w:val="en-US"/>
        </w:rPr>
      </w:pPr>
      <w:r w:rsidRPr="006A1593">
        <w:rPr>
          <w:sz w:val="24"/>
          <w:szCs w:val="24"/>
          <w:lang w:val="en-US"/>
        </w:rPr>
        <w:t xml:space="preserve">Fluid levels can be considered blend sign positive </w:t>
      </w:r>
      <w:proofErr w:type="gramStart"/>
      <w:r w:rsidRPr="006A1593">
        <w:rPr>
          <w:sz w:val="24"/>
          <w:szCs w:val="24"/>
          <w:lang w:val="en-US"/>
        </w:rPr>
        <w:t>as long as</w:t>
      </w:r>
      <w:proofErr w:type="gramEnd"/>
      <w:r w:rsidRPr="006A1593">
        <w:rPr>
          <w:sz w:val="24"/>
          <w:szCs w:val="24"/>
          <w:lang w:val="en-US"/>
        </w:rPr>
        <w:t xml:space="preserve"> the density difference between the two regions reaches the 18 HU threshold proposed for blend sign detection.</w:t>
      </w:r>
    </w:p>
    <w:p w:rsidR="00460669" w:rsidRPr="006A1593" w:rsidRDefault="00460669">
      <w:pPr>
        <w:numPr>
          <w:ilvl w:val="0"/>
          <w:numId w:val="1"/>
        </w:numPr>
        <w:rPr>
          <w:sz w:val="24"/>
          <w:szCs w:val="24"/>
          <w:lang w:val="en-US"/>
        </w:rPr>
      </w:pPr>
      <w:r w:rsidRPr="006A1593">
        <w:rPr>
          <w:sz w:val="24"/>
          <w:szCs w:val="24"/>
          <w:lang w:val="en-US"/>
        </w:rPr>
        <w:t xml:space="preserve">Hemorrhages with one or two hypodense regions have </w:t>
      </w:r>
      <w:r w:rsidR="00021E52" w:rsidRPr="006A1593">
        <w:rPr>
          <w:sz w:val="24"/>
          <w:szCs w:val="24"/>
          <w:lang w:val="en-US"/>
        </w:rPr>
        <w:t>homogeneous</w:t>
      </w:r>
      <w:r w:rsidRPr="006A1593">
        <w:rPr>
          <w:sz w:val="24"/>
          <w:szCs w:val="24"/>
          <w:lang w:val="en-US"/>
        </w:rPr>
        <w:t xml:space="preserve"> density (Barras grade I or II) whereas patients with at least 3 hypodensities (irrespectively from size or degree of hypoattenuation) qualify as heterogeneous according to Barras (Barras Grade </w:t>
      </w:r>
      <w:r w:rsidRPr="006A1593">
        <w:rPr>
          <w:sz w:val="24"/>
          <w:szCs w:val="24"/>
          <w:u w:val="single"/>
          <w:lang w:val="en-US"/>
        </w:rPr>
        <w:t>&gt;</w:t>
      </w:r>
      <w:r w:rsidRPr="006A1593">
        <w:rPr>
          <w:sz w:val="24"/>
          <w:szCs w:val="24"/>
          <w:lang w:val="en-US"/>
        </w:rPr>
        <w:t xml:space="preserve"> III).</w:t>
      </w:r>
    </w:p>
    <w:p w:rsidR="00460669" w:rsidRPr="006A1593" w:rsidRDefault="00460669">
      <w:pPr>
        <w:numPr>
          <w:ilvl w:val="0"/>
          <w:numId w:val="1"/>
        </w:numPr>
        <w:rPr>
          <w:sz w:val="24"/>
          <w:szCs w:val="24"/>
          <w:lang w:val="en-US"/>
        </w:rPr>
      </w:pPr>
      <w:r w:rsidRPr="006A1593">
        <w:rPr>
          <w:sz w:val="24"/>
          <w:szCs w:val="24"/>
          <w:lang w:val="en-US"/>
        </w:rPr>
        <w:t xml:space="preserve">Hemorrhages having just a blend sign should be categorized as </w:t>
      </w:r>
      <w:r w:rsidR="00021E52" w:rsidRPr="006A1593">
        <w:rPr>
          <w:sz w:val="24"/>
          <w:szCs w:val="24"/>
          <w:lang w:val="en-US"/>
        </w:rPr>
        <w:t>homogeneous</w:t>
      </w:r>
      <w:r w:rsidRPr="006A1593">
        <w:rPr>
          <w:sz w:val="24"/>
          <w:szCs w:val="24"/>
          <w:lang w:val="en-US"/>
        </w:rPr>
        <w:t xml:space="preserve"> density (Barras I-II with two regions of different attenuation). The same applies for fluid level.</w:t>
      </w:r>
    </w:p>
    <w:p w:rsidR="00460669" w:rsidRPr="006A1593" w:rsidRDefault="00460669">
      <w:pPr>
        <w:pStyle w:val="Heading3"/>
        <w:rPr>
          <w:rFonts w:ascii="Times New Roman" w:hAnsi="Times New Roman"/>
          <w:sz w:val="24"/>
          <w:szCs w:val="24"/>
          <w:lang w:val="en-US"/>
        </w:rPr>
      </w:pPr>
      <w:r w:rsidRPr="006A1593">
        <w:rPr>
          <w:rFonts w:ascii="Times New Roman" w:hAnsi="Times New Roman"/>
          <w:sz w:val="24"/>
          <w:szCs w:val="24"/>
          <w:lang w:val="en-US"/>
        </w:rPr>
        <w:t>Potential overlap between ICH shape features</w:t>
      </w:r>
    </w:p>
    <w:p w:rsidR="00460669" w:rsidRPr="006A1593" w:rsidRDefault="00460669">
      <w:pPr>
        <w:numPr>
          <w:ilvl w:val="0"/>
          <w:numId w:val="2"/>
        </w:numPr>
        <w:rPr>
          <w:sz w:val="24"/>
          <w:szCs w:val="24"/>
          <w:lang w:val="en-US"/>
        </w:rPr>
      </w:pPr>
      <w:r w:rsidRPr="006A1593">
        <w:rPr>
          <w:sz w:val="24"/>
          <w:szCs w:val="24"/>
          <w:lang w:val="en-US"/>
        </w:rPr>
        <w:t>Hemorrhages with just one satellite sign are categorized as regular shape (Barras grade II) whereas hemorrhages with at least two satellites qualify as irregularly shaped hematomas (Barras grade</w:t>
      </w:r>
      <w:r w:rsidR="009C4B86" w:rsidRPr="006A1593">
        <w:rPr>
          <w:sz w:val="24"/>
          <w:szCs w:val="24"/>
          <w:u w:val="single"/>
          <w:lang w:val="en-US"/>
        </w:rPr>
        <w:t>&gt;</w:t>
      </w:r>
      <w:r w:rsidRPr="006A1593">
        <w:rPr>
          <w:sz w:val="24"/>
          <w:szCs w:val="24"/>
          <w:lang w:val="en-US"/>
        </w:rPr>
        <w:t xml:space="preserve"> III).</w:t>
      </w:r>
    </w:p>
    <w:p w:rsidR="00460669" w:rsidRPr="006A1593" w:rsidRDefault="00460669">
      <w:pPr>
        <w:numPr>
          <w:ilvl w:val="0"/>
          <w:numId w:val="2"/>
        </w:numPr>
        <w:rPr>
          <w:sz w:val="24"/>
          <w:szCs w:val="24"/>
          <w:lang w:val="en-US"/>
        </w:rPr>
      </w:pPr>
      <w:r w:rsidRPr="006A1593">
        <w:rPr>
          <w:sz w:val="24"/>
          <w:szCs w:val="24"/>
          <w:lang w:val="en-US"/>
        </w:rPr>
        <w:t xml:space="preserve">ICH shape variation with the Barras scale </w:t>
      </w:r>
      <w:proofErr w:type="gramStart"/>
      <w:r w:rsidRPr="006A1593">
        <w:rPr>
          <w:sz w:val="24"/>
          <w:szCs w:val="24"/>
          <w:lang w:val="en-US"/>
        </w:rPr>
        <w:t>has to</w:t>
      </w:r>
      <w:proofErr w:type="gramEnd"/>
      <w:r w:rsidRPr="006A1593">
        <w:rPr>
          <w:sz w:val="24"/>
          <w:szCs w:val="24"/>
          <w:lang w:val="en-US"/>
        </w:rPr>
        <w:t xml:space="preserve"> be evaluated on the largest axial NCCT slice. </w:t>
      </w:r>
      <w:proofErr w:type="gramStart"/>
      <w:r w:rsidRPr="006A1593">
        <w:rPr>
          <w:sz w:val="24"/>
          <w:szCs w:val="24"/>
          <w:lang w:val="en-US"/>
        </w:rPr>
        <w:t>Therefore</w:t>
      </w:r>
      <w:proofErr w:type="gramEnd"/>
      <w:r w:rsidRPr="006A1593">
        <w:rPr>
          <w:sz w:val="24"/>
          <w:szCs w:val="24"/>
          <w:lang w:val="en-US"/>
        </w:rPr>
        <w:t xml:space="preserve"> satellite signs identified on other slices should not be considered when grading ICH shape according to Barras scale.</w:t>
      </w:r>
    </w:p>
    <w:p w:rsidR="00460669" w:rsidRPr="006A1593" w:rsidRDefault="00460669">
      <w:pPr>
        <w:numPr>
          <w:ilvl w:val="0"/>
          <w:numId w:val="2"/>
        </w:numPr>
        <w:rPr>
          <w:sz w:val="24"/>
          <w:szCs w:val="24"/>
          <w:lang w:val="en-US"/>
        </w:rPr>
      </w:pPr>
      <w:r w:rsidRPr="006A1593">
        <w:rPr>
          <w:sz w:val="24"/>
          <w:szCs w:val="24"/>
          <w:lang w:val="en-US"/>
        </w:rPr>
        <w:t>Island signs always qualify as irregular shape according to Barras (Barras grade</w:t>
      </w:r>
      <w:r w:rsidRPr="006A1593">
        <w:rPr>
          <w:sz w:val="24"/>
          <w:szCs w:val="24"/>
          <w:u w:val="single"/>
          <w:lang w:val="en-US"/>
        </w:rPr>
        <w:t>&gt;</w:t>
      </w:r>
      <w:r w:rsidRPr="006A1593">
        <w:rPr>
          <w:sz w:val="24"/>
          <w:szCs w:val="24"/>
          <w:lang w:val="en-US"/>
        </w:rPr>
        <w:t xml:space="preserve"> III for presence of at least three regions of irregularity in shape).</w:t>
      </w:r>
    </w:p>
    <w:p w:rsidR="00460669" w:rsidRPr="006A1593" w:rsidRDefault="00460669">
      <w:pPr>
        <w:numPr>
          <w:ilvl w:val="0"/>
          <w:numId w:val="2"/>
        </w:numPr>
        <w:rPr>
          <w:sz w:val="24"/>
          <w:szCs w:val="24"/>
          <w:lang w:val="en-US"/>
        </w:rPr>
      </w:pPr>
      <w:r w:rsidRPr="006A1593">
        <w:rPr>
          <w:sz w:val="24"/>
          <w:szCs w:val="24"/>
          <w:lang w:val="en-US"/>
        </w:rPr>
        <w:t>Hemorrhages with at least three satellite signs are also considered island sign positive.</w:t>
      </w:r>
    </w:p>
    <w:p w:rsidR="00887DBC" w:rsidRPr="006A1593" w:rsidRDefault="00887DBC" w:rsidP="00887DBC">
      <w:pPr>
        <w:numPr>
          <w:ilvl w:val="0"/>
          <w:numId w:val="2"/>
        </w:numPr>
        <w:rPr>
          <w:sz w:val="24"/>
          <w:szCs w:val="24"/>
          <w:lang w:val="en-US"/>
        </w:rPr>
      </w:pPr>
      <w:r w:rsidRPr="006A1593">
        <w:rPr>
          <w:sz w:val="24"/>
          <w:szCs w:val="24"/>
          <w:lang w:val="en-US"/>
        </w:rPr>
        <w:t xml:space="preserve">Island sign positive ICH do not necessarily have satellite signs as wells. Diagnostic criteria for satellite sign require a clear separation from the main hemorrhage whereas multiple </w:t>
      </w:r>
      <w:r w:rsidR="00ED37B4" w:rsidRPr="006A1593">
        <w:rPr>
          <w:sz w:val="24"/>
          <w:szCs w:val="24"/>
          <w:lang w:val="en-US"/>
        </w:rPr>
        <w:t xml:space="preserve">small </w:t>
      </w:r>
      <w:r w:rsidRPr="006A1593">
        <w:rPr>
          <w:sz w:val="24"/>
          <w:szCs w:val="24"/>
          <w:lang w:val="en-US"/>
        </w:rPr>
        <w:t>hematomas that are connected and originate from the main hemorrhage may qualify as island sign.</w:t>
      </w:r>
    </w:p>
    <w:p w:rsidR="00460669" w:rsidRPr="006A1593" w:rsidRDefault="00460669">
      <w:pPr>
        <w:pStyle w:val="Heading1"/>
        <w:rPr>
          <w:rFonts w:ascii="Times New Roman" w:hAnsi="Times New Roman"/>
          <w:sz w:val="24"/>
          <w:szCs w:val="24"/>
          <w:u w:val="none"/>
          <w:lang w:val="en-US"/>
        </w:rPr>
      </w:pPr>
      <w:r w:rsidRPr="006A1593">
        <w:rPr>
          <w:rFonts w:ascii="Times New Roman" w:hAnsi="Times New Roman"/>
          <w:sz w:val="24"/>
          <w:szCs w:val="24"/>
          <w:u w:val="none"/>
          <w:lang w:val="en-US"/>
        </w:rPr>
        <w:lastRenderedPageBreak/>
        <w:t>INTERPRETATION</w:t>
      </w:r>
    </w:p>
    <w:p w:rsidR="00460669" w:rsidRPr="006A1593" w:rsidRDefault="00460669">
      <w:pPr>
        <w:pStyle w:val="Heading2"/>
        <w:rPr>
          <w:rFonts w:ascii="Times New Roman" w:hAnsi="Times New Roman"/>
          <w:sz w:val="24"/>
          <w:szCs w:val="24"/>
          <w:u w:val="none"/>
          <w:lang w:val="en-US"/>
        </w:rPr>
      </w:pPr>
      <w:r w:rsidRPr="006A1593">
        <w:rPr>
          <w:rFonts w:ascii="Times New Roman" w:hAnsi="Times New Roman"/>
          <w:sz w:val="24"/>
          <w:szCs w:val="24"/>
          <w:u w:val="none"/>
          <w:lang w:val="en-US"/>
        </w:rPr>
        <w:t>Pathophysiology</w:t>
      </w:r>
    </w:p>
    <w:p w:rsidR="00460669" w:rsidRPr="006A1593" w:rsidRDefault="00460669">
      <w:pPr>
        <w:rPr>
          <w:sz w:val="24"/>
          <w:szCs w:val="24"/>
          <w:lang w:val="en-US"/>
        </w:rPr>
      </w:pPr>
      <w:r w:rsidRPr="006A1593">
        <w:rPr>
          <w:sz w:val="24"/>
          <w:szCs w:val="24"/>
          <w:lang w:val="en-US"/>
        </w:rPr>
        <w:t>The CT imaging appearance of an ICH varies according to a number of factors that include the degree of hematoma “maturity” (e.g. bleeding at the time of image acquisition, time since blood extravasation) and othe</w:t>
      </w:r>
      <w:r w:rsidR="009C4B86" w:rsidRPr="006A1593">
        <w:rPr>
          <w:sz w:val="24"/>
          <w:szCs w:val="24"/>
          <w:lang w:val="en-US"/>
        </w:rPr>
        <w:t>r biological factors such as</w:t>
      </w:r>
      <w:r w:rsidRPr="006A1593">
        <w:rPr>
          <w:sz w:val="24"/>
          <w:szCs w:val="24"/>
          <w:lang w:val="en-US"/>
        </w:rPr>
        <w:t xml:space="preserve"> hematocrit and protein concentration.</w:t>
      </w:r>
      <w:r w:rsidR="009134B6" w:rsidRPr="006A1593">
        <w:rPr>
          <w:sz w:val="24"/>
          <w:szCs w:val="24"/>
          <w:lang w:val="en-US"/>
        </w:rPr>
        <w:fldChar w:fldCharType="begin" w:fldLock="1"/>
      </w:r>
      <w:r w:rsidR="00BA1458" w:rsidRPr="006A1593">
        <w:rPr>
          <w:sz w:val="24"/>
          <w:szCs w:val="24"/>
          <w:lang w:val="en-US"/>
        </w:rPr>
        <w:instrText>ADDIN CSL_CITATION {"citationItems":[{"id":"ITEM-1","itemData":{"DOI":"10.1148/121.3.635","ISSN":"0033-8419","PMID":"981659","abstract":"Computed tomography (CT) provides an extraordinarily effective means of diagnosing intracranial hemorrhages. Normal blood has a relatively high x-ray attenuation in the circulation and following extravasation, permitting the discrimination by CT of many pathologically enlarged vascular spaces containing circulating blood and/or blood clot (such as arteriovenous malformations and large aneurysms) in addition to recent hemorrhages, from continguous anatomical structures. To promote further understanding of the factors contributing to the attenuation of blood in normal and abnormal states. the attenuations of various preparations of whole blood and blood fractions were investigated in further detail.","author":[{"dropping-particle":"","family":"New","given":"P F","non-dropping-particle":"","parse-names":false,"suffix":""},{"dropping-particle":"","family":"Aronow","given":"S","non-dropping-particle":"","parse-names":false,"suffix":""}],"container-title":"Radiology","id":"ITEM-1","issue":"3 Pt. 1","issued":{"date-parts":[["1976","12"]]},"page":"635-40","title":"Attenuation measurements of whole blood and blood fractions in computed tomography.","type":"article-journal","volume":"121"},"uris":["http://www.mendeley.com/documents/?uuid=1d4e4ab3-91c4-3d1a-8e90-0d0eb4525e6b"]}],"mendeley":{"formattedCitation":"&lt;sup&gt;41&lt;/sup&gt;","plainTextFormattedCitation":"41","previouslyFormattedCitation":"&lt;sup&gt;41&lt;/sup&gt;"},"properties":{"noteIndex":0},"schema":"https://github.com/citation-style-language/schema/raw/master/csl-citation.json"}</w:instrText>
      </w:r>
      <w:r w:rsidR="009134B6" w:rsidRPr="006A1593">
        <w:rPr>
          <w:sz w:val="24"/>
          <w:szCs w:val="24"/>
          <w:lang w:val="en-US"/>
        </w:rPr>
        <w:fldChar w:fldCharType="separate"/>
      </w:r>
      <w:r w:rsidR="00BA1458" w:rsidRPr="006A1593">
        <w:rPr>
          <w:noProof/>
          <w:sz w:val="24"/>
          <w:szCs w:val="24"/>
          <w:vertAlign w:val="superscript"/>
          <w:lang w:val="en-US"/>
        </w:rPr>
        <w:t>41</w:t>
      </w:r>
      <w:r w:rsidR="009134B6" w:rsidRPr="006A1593">
        <w:rPr>
          <w:sz w:val="24"/>
          <w:szCs w:val="24"/>
          <w:lang w:val="en-US"/>
        </w:rPr>
        <w:fldChar w:fldCharType="end"/>
      </w:r>
      <w:r w:rsidRPr="006A1593">
        <w:rPr>
          <w:sz w:val="24"/>
          <w:szCs w:val="24"/>
          <w:lang w:val="en-US"/>
        </w:rPr>
        <w:t xml:space="preserve"> Acute </w:t>
      </w:r>
      <w:r w:rsidR="009C4B86" w:rsidRPr="006A1593">
        <w:rPr>
          <w:sz w:val="24"/>
          <w:szCs w:val="24"/>
          <w:lang w:val="en-US"/>
        </w:rPr>
        <w:t>bleedings</w:t>
      </w:r>
      <w:r w:rsidRPr="006A1593">
        <w:rPr>
          <w:sz w:val="24"/>
          <w:szCs w:val="24"/>
          <w:lang w:val="en-US"/>
        </w:rPr>
        <w:t xml:space="preserve"> are, however, almost constantly seen as </w:t>
      </w:r>
      <w:r w:rsidR="00E26AB2" w:rsidRPr="006A1593">
        <w:rPr>
          <w:sz w:val="24"/>
          <w:szCs w:val="24"/>
          <w:lang w:val="en-US"/>
        </w:rPr>
        <w:t>hyperattenuating</w:t>
      </w:r>
      <w:r w:rsidRPr="006A1593">
        <w:rPr>
          <w:sz w:val="24"/>
          <w:szCs w:val="24"/>
          <w:lang w:val="en-US"/>
        </w:rPr>
        <w:t xml:space="preserve"> areas by comparison to the adjacent brain tissue, driven by the presence of intact globin within the extravasated red blood cells trapped in the hemorrhage.</w:t>
      </w:r>
      <w:r w:rsidR="009134B6" w:rsidRPr="006A1593">
        <w:rPr>
          <w:sz w:val="24"/>
          <w:szCs w:val="24"/>
          <w:lang w:val="en-US"/>
        </w:rPr>
        <w:fldChar w:fldCharType="begin" w:fldLock="1"/>
      </w:r>
      <w:r w:rsidR="00BA1458" w:rsidRPr="006A1593">
        <w:rPr>
          <w:sz w:val="24"/>
          <w:szCs w:val="24"/>
          <w:lang w:val="en-US"/>
        </w:rPr>
        <w:instrText>ADDIN CSL_CITATION {"citationItems":[{"id":"ITEM-1","itemData":{"DOI":"10.1111/jon.12306","ISSN":"10512284","PMID":"26459244","abstract":"BACKGROUND The evolution of intracerebral hematoma and perihematoma edema in the ultra-early period on computed tomographic (CT) scans in patients with intracerebral hemorrhage (ICH) is not well understood. We aimed to investigate hematoma and perihematoma changes in \"neutral brain\" models of ICH. METHODS One human and five goat cadaveric heads were used as \"neutral brains\" to provide physical properties of brain without any biological activity or new bleeding. ICH was induced by slow injection of 4 ml of fresh human blood into the right basal ganglia of the goat brains. Similarly, 20 ml of fresh blood was injected deep into the white matter of the human cadaver head in each hemisphere. Serial CT scans of the heads were obtained immediately after hematoma induction and then 1, 3, and 5 hours afterward. Analyze software (AnalyzeDirect, Overland Park, KS, USA) was used to measure hematoma and perihematoma hypodensity volumes in the baseline and follow-up CT scans. RESULTS The initial hematoma volumes of 11.6 ml and 10.5 ml in the right and left hemispheres of the cadaver brains gradually decreased to 6.6 ml and 5.4 ml at 5 hours, showing 43% and 48% retraction of hematoma, respectively. The volume of the perihematoma hypodensity in the right and left hemisphere increased from 2.6 ml and 2.2 ml in the 1-hour follow-up CT scans to 4.9 ml and 4.4 ml in the 5-hour CT scan, respectively. Hematoma retraction was also observed in all five goat brains ICH models with the mean ICH volume decreasing from 1.49 ml at baseline scan to 1.01 ml at the 5-hour follow-up CT scan (29.6% hematoma retraction). Perihematoma hypodensity was visualized in 70% of ICH in goat brains, with an increasing mean hypodensity volume of 0.4 ml in the baseline CT scan to 0.8 ml in the 5-hour follow-up CT scan. CONCLUSION Our study demonstrated that substantial hematoma retraction and perihematoma hypodensity occurs in ICH in the absence of any new bleeding or biological activity of surrounding brain. Such observations suggest that active bleeding is underestimated in patients with no or small hematoma expansion and our understanding of perihematoma hypodensity needs to be reconsidered.","author":[{"dropping-particle":"","family":"Majidi","given":"Shahram","non-dropping-particle":"","parse-names":false,"suffix":""},{"dropping-particle":"","family":"Rahim","given":"Basit","non-dropping-particle":"","parse-names":false,"suffix":""},{"dropping-particle":"","family":"Gilani","given":"Sarwat I.","non-dropping-particle":"","parse-names":false,"suffix":""},{"dropping-particle":"","family":"Gilani","given":"Waqas I.","non-dropping-particle":"","parse-names":false,"suffix":""},{"dropping-particle":"","family":"Adil","given":"Malik M.","non-dropping-particle":"","parse-names":false,"suffix":""},{"dropping-particle":"","family":"Qureshi","given":"Adnan I.","non-dropping-particle":"","parse-names":false,"suffix":""}],"container-title":"Journal of Neuroimaging","id":"ITEM-1","issue":"3","issued":{"date-parts":[["2016","5"]]},"page":"346-350","title":"CT Evolution of Hematoma and Surrounding Hypodensity in a Cadaveric Model of Intracerebral Hemorrhage","type":"article-journal","volume":"26"},"uris":["http://www.mendeley.com/documents/?uuid=4fe9ca4e-0b7e-31b4-93b5-b04dfd3dfc6b"]}],"mendeley":{"formattedCitation":"&lt;sup&gt;42&lt;/sup&gt;","plainTextFormattedCitation":"42","previouslyFormattedCitation":"&lt;sup&gt;42&lt;/sup&gt;"},"properties":{"noteIndex":0},"schema":"https://github.com/citation-style-language/schema/raw/master/csl-citation.json"}</w:instrText>
      </w:r>
      <w:r w:rsidR="009134B6" w:rsidRPr="006A1593">
        <w:rPr>
          <w:sz w:val="24"/>
          <w:szCs w:val="24"/>
          <w:lang w:val="en-US"/>
        </w:rPr>
        <w:fldChar w:fldCharType="separate"/>
      </w:r>
      <w:r w:rsidR="00BA1458" w:rsidRPr="006A1593">
        <w:rPr>
          <w:noProof/>
          <w:sz w:val="24"/>
          <w:szCs w:val="24"/>
          <w:vertAlign w:val="superscript"/>
          <w:lang w:val="en-US"/>
        </w:rPr>
        <w:t>42</w:t>
      </w:r>
      <w:r w:rsidR="009134B6" w:rsidRPr="006A1593">
        <w:rPr>
          <w:sz w:val="24"/>
          <w:szCs w:val="24"/>
          <w:lang w:val="en-US"/>
        </w:rPr>
        <w:fldChar w:fldCharType="end"/>
      </w:r>
    </w:p>
    <w:p w:rsidR="00460669" w:rsidRPr="006A1593" w:rsidRDefault="00460669">
      <w:pPr>
        <w:rPr>
          <w:sz w:val="24"/>
          <w:szCs w:val="24"/>
          <w:lang w:val="en-US"/>
        </w:rPr>
      </w:pPr>
      <w:r w:rsidRPr="006A1593">
        <w:rPr>
          <w:sz w:val="24"/>
          <w:szCs w:val="24"/>
          <w:lang w:val="en-US"/>
        </w:rPr>
        <w:t xml:space="preserve">The most commonly accepted model for </w:t>
      </w:r>
      <w:r w:rsidR="0060278D" w:rsidRPr="006A1593">
        <w:rPr>
          <w:sz w:val="24"/>
          <w:szCs w:val="24"/>
          <w:lang w:val="en-US"/>
        </w:rPr>
        <w:t>HE</w:t>
      </w:r>
      <w:r w:rsidRPr="006A1593">
        <w:rPr>
          <w:sz w:val="24"/>
          <w:szCs w:val="24"/>
          <w:lang w:val="en-US"/>
        </w:rPr>
        <w:t xml:space="preserve"> is the avalanche model</w:t>
      </w:r>
      <w:r w:rsidR="003452CE" w:rsidRPr="006A1593">
        <w:rPr>
          <w:sz w:val="24"/>
          <w:szCs w:val="24"/>
          <w:lang w:val="en-US"/>
        </w:rPr>
        <w:t>:</w:t>
      </w:r>
      <w:r w:rsidRPr="006A1593">
        <w:rPr>
          <w:sz w:val="24"/>
          <w:szCs w:val="24"/>
          <w:lang w:val="en-US"/>
        </w:rPr>
        <w:t xml:space="preserve"> the initial vessel rupture is responsible for peripheral vessels shearing that rupture secondarily and maintain an active source of bleeding.</w:t>
      </w:r>
      <w:r w:rsidR="009134B6" w:rsidRPr="006A1593">
        <w:rPr>
          <w:sz w:val="24"/>
          <w:szCs w:val="24"/>
          <w:lang w:val="en-US"/>
        </w:rPr>
        <w:fldChar w:fldCharType="begin" w:fldLock="1"/>
      </w:r>
      <w:r w:rsidR="00BA1458" w:rsidRPr="006A1593">
        <w:rPr>
          <w:sz w:val="24"/>
          <w:szCs w:val="24"/>
          <w:lang w:val="en-US"/>
        </w:rPr>
        <w:instrText>ADDIN CSL_CITATION {"citationItems":[{"id":"ITEM-1","itemData":{"DOI":"10.1007/s12975-015-0410-1","ISSN":"1868-4483","PMID":"26073700","abstract":"Intracerebral hemorrhage is a devastating disease. Despite its clinical importance, the pathophysiology of intracerebral hemorrhage is not well understood. Hematoma expansion occurs in a large subset of patients and is a predictor of poor outcomes. Since hematoma growth provides a potential opportunity for therapeutic intervention, a thorough understanding of its biological mechanisms is of key importance. After vessel rupture, an initial hematoma forms. Following this initial phase, accumulating evidence suggests that the mass effect causes secondary vessel rupture, which contributes to the hematoma and may trigger an avalanche of further vessel ruptures. The circumstances under which this occurs and to what extent secondary hemorrhage contributes to final hematoma volume remain unknown, however. To address these questions, a translational approach seems most suitable. Current experimental models include intracranial injections of collagenase or autologous blood. Each has individual strengths and weaknesses in its ability to simulate human intracerebral hemorrhage. The ultimate goal for improved understanding and modeling of the pathophysiology of hematoma expansion is to identify new treatment approaches.","author":[{"dropping-particle":"","family":"Schlunk","given":"Frieder","non-dropping-particle":"","parse-names":false,"suffix":""},{"dropping-particle":"","family":"Greenberg","given":"Steven M.","non-dropping-particle":"","parse-names":false,"suffix":""}],"container-title":"Translational Stroke Research","id":"ITEM-1","issue":"4","issued":{"date-parts":[["2015","8","16"]]},"page":"257-263","title":"The Pathophysiology of Intracerebral Hemorrhage Formation and Expansion","type":"article-journal","volume":"6"},"uris":["http://www.mendeley.com/documents/?uuid=5a06be17-50f7-3a00-9dfd-250328b5e16a"]}],"mendeley":{"formattedCitation":"&lt;sup&gt;43&lt;/sup&gt;","plainTextFormattedCitation":"43","previouslyFormattedCitation":"&lt;sup&gt;43&lt;/sup&gt;"},"properties":{"noteIndex":0},"schema":"https://github.com/citation-style-language/schema/raw/master/csl-citation.json"}</w:instrText>
      </w:r>
      <w:r w:rsidR="009134B6" w:rsidRPr="006A1593">
        <w:rPr>
          <w:sz w:val="24"/>
          <w:szCs w:val="24"/>
          <w:lang w:val="en-US"/>
        </w:rPr>
        <w:fldChar w:fldCharType="separate"/>
      </w:r>
      <w:r w:rsidR="00BA1458" w:rsidRPr="006A1593">
        <w:rPr>
          <w:noProof/>
          <w:sz w:val="24"/>
          <w:szCs w:val="24"/>
          <w:vertAlign w:val="superscript"/>
          <w:lang w:val="en-US"/>
        </w:rPr>
        <w:t>43</w:t>
      </w:r>
      <w:r w:rsidR="009134B6" w:rsidRPr="006A1593">
        <w:rPr>
          <w:sz w:val="24"/>
          <w:szCs w:val="24"/>
          <w:lang w:val="en-US"/>
        </w:rPr>
        <w:fldChar w:fldCharType="end"/>
      </w:r>
      <w:r w:rsidRPr="006A1593">
        <w:rPr>
          <w:sz w:val="24"/>
          <w:szCs w:val="24"/>
          <w:lang w:val="en-US"/>
        </w:rPr>
        <w:t xml:space="preserve"> In this model, the CT appearance of the hemorrhage results from a matrix of acute and subacute blood. Fresh blood coexists with a more subacute clot resulting in higher hemorrhage heterogeneity. Hyper-attenuating regions constitute more stable </w:t>
      </w:r>
      <w:r w:rsidR="00276D18" w:rsidRPr="006A1593">
        <w:rPr>
          <w:sz w:val="24"/>
          <w:szCs w:val="24"/>
          <w:lang w:val="en-US"/>
        </w:rPr>
        <w:t xml:space="preserve">bleed </w:t>
      </w:r>
      <w:r w:rsidRPr="006A1593">
        <w:rPr>
          <w:sz w:val="24"/>
          <w:szCs w:val="24"/>
          <w:lang w:val="en-US"/>
        </w:rPr>
        <w:t>areas and lower attenuating regions more immature areas, potentially explaining the higher prevalence of density heterogeneity in cases with subsequent</w:t>
      </w:r>
      <w:r w:rsidR="0060278D" w:rsidRPr="006A1593">
        <w:rPr>
          <w:sz w:val="24"/>
          <w:szCs w:val="24"/>
          <w:lang w:val="en-US"/>
        </w:rPr>
        <w:t xml:space="preserve"> HE</w:t>
      </w:r>
      <w:r w:rsidRPr="006A1593">
        <w:rPr>
          <w:sz w:val="24"/>
          <w:szCs w:val="24"/>
          <w:lang w:val="en-US"/>
        </w:rPr>
        <w:t>. This sequential model is also supported by the observation that growing hemorrhages commonly assume irregular shape and can expand in different axial directions over time.</w:t>
      </w:r>
      <w:r w:rsidR="009134B6" w:rsidRPr="006A1593">
        <w:rPr>
          <w:sz w:val="24"/>
          <w:szCs w:val="24"/>
          <w:lang w:val="en-US"/>
        </w:rPr>
        <w:fldChar w:fldCharType="begin" w:fldLock="1"/>
      </w:r>
      <w:r w:rsidR="00BA1458" w:rsidRPr="006A1593">
        <w:rPr>
          <w:sz w:val="24"/>
          <w:szCs w:val="24"/>
          <w:lang w:val="en-US"/>
        </w:rPr>
        <w:instrText>ADDIN CSL_CITATION {"citationItems":[{"id":"ITEM-1","itemData":{"DOI":"10.1161/STROKEAHA.114.004844","ISSN":"0039-2499","PMID":"24603066","abstract":"BACKGROUND AND PURPOSE We sought to identify baseline determinants of the anatomic pattern of hematoma expansion in patients with intracerebral hemorrhage and spot sign. METHODS We coregistered baseline and follow-up CT scans from 15 intracerebral hemorrhage patients and measured growth at each surface node from baseline to follow-up hematoma. We analyzed the effects of proximity to the spot sign or hematoma center on distance of expansion, controlling for covariates. RESULTS There was substantial node-to-node variation in the extent of expansion around each hematoma surface (mean coefficient of variation for expansion distance, 0.43; 95% confidence interval, 0.39-0.48), indicating nonuniform expansion. Closer proximity to the hematoma center was independently associated with increased expansion (0.185 mm greater expansion for each 1 mm closer to the center; P&lt;0.0001). Closer proximity to the spot sign was not independently associated with increased expansion in models including both terms. CONCLUSIONS Hemorrhages expand nonuniformly around their surface with a tendency for greater expansion closer to their center. These findings provide a novel framework for analyzing mechanisms underlying hemorrhage growth and response to treatment.","author":[{"dropping-particle":"","family":"Boulouis","given":"G.","non-dropping-particle":"","parse-names":false,"suffix":""},{"dropping-particle":"","family":"Dumas","given":"A.","non-dropping-particle":"","parse-names":false,"suffix":""},{"dropping-particle":"","family":"Betensky","given":"R. A.","non-dropping-particle":"","parse-names":false,"suffix":""},{"dropping-particle":"","family":"Brouwers","given":"H. B.","non-dropping-particle":"","parse-names":false,"suffix":""},{"dropping-particle":"","family":"Fotiadis","given":"P.","non-dropping-particle":"","parse-names":false,"suffix":""},{"dropping-particle":"","family":"Vashkevich","given":"A.","non-dropping-particle":"","parse-names":false,"suffix":""},{"dropping-particle":"","family":"Ayres","given":"A.","non-dropping-particle":"","parse-names":false,"suffix":""},{"dropping-particle":"","family":"Schwab","given":"K.","non-dropping-particle":"","parse-names":false,"suffix":""},{"dropping-particle":"","family":"Romero","given":"J. M.","non-dropping-particle":"","parse-names":false,"suffix":""},{"dropping-particle":"","family":"Smith","given":"E. E.","non-dropping-particle":"","parse-names":false,"suffix":""},{"dropping-particle":"","family":"Viswanathan","given":"A.","non-dropping-particle":"","parse-names":false,"suffix":""},{"dropping-particle":"","family":"Goldstein","given":"J. N.","non-dropping-particle":"","parse-names":false,"suffix":""},{"dropping-particle":"","family":"Rosand","given":"J.","non-dropping-particle":"","parse-names":false,"suffix":""},{"dropping-particle":"","family":"Gurol","given":"M. E.","non-dropping-particle":"","parse-names":false,"suffix":""},{"dropping-particle":"","family":"Greenberg","given":"S. M.","non-dropping-particle":"","parse-names":false,"suffix":""}],"container-title":"Stroke","id":"ITEM-1","issue":"4","issued":{"date-parts":[["2014","4","1"]]},"page":"1154-1156","title":"Anatomic Pattern of Intracerebral Hemorrhage Expansion: Relation to CT Angiography Spot Sign and Hematoma Center","type":"article-journal","volume":"45"},"uris":["http://www.mendeley.com/documents/?uuid=14b2e1c8-f498-309b-8070-e3647374c2d7"]}],"mendeley":{"formattedCitation":"&lt;sup&gt;44&lt;/sup&gt;","plainTextFormattedCitation":"44","previouslyFormattedCitation":"&lt;sup&gt;44&lt;/sup&gt;"},"properties":{"noteIndex":0},"schema":"https://github.com/citation-style-language/schema/raw/master/csl-citation.json"}</w:instrText>
      </w:r>
      <w:r w:rsidR="009134B6" w:rsidRPr="006A1593">
        <w:rPr>
          <w:sz w:val="24"/>
          <w:szCs w:val="24"/>
          <w:lang w:val="en-US"/>
        </w:rPr>
        <w:fldChar w:fldCharType="separate"/>
      </w:r>
      <w:r w:rsidR="00BA1458" w:rsidRPr="006A1593">
        <w:rPr>
          <w:noProof/>
          <w:sz w:val="24"/>
          <w:szCs w:val="24"/>
          <w:vertAlign w:val="superscript"/>
          <w:lang w:val="en-US"/>
        </w:rPr>
        <w:t>44</w:t>
      </w:r>
      <w:r w:rsidR="009134B6" w:rsidRPr="006A1593">
        <w:rPr>
          <w:sz w:val="24"/>
          <w:szCs w:val="24"/>
          <w:lang w:val="en-US"/>
        </w:rPr>
        <w:fldChar w:fldCharType="end"/>
      </w:r>
      <w:r w:rsidRPr="006A1593">
        <w:rPr>
          <w:sz w:val="24"/>
          <w:szCs w:val="24"/>
          <w:lang w:val="en-US"/>
        </w:rPr>
        <w:t xml:space="preserve"> Irregular hemorrhages may therefore be at an intermediate stage of maturity, with persisting bleeding or increased </w:t>
      </w:r>
      <w:proofErr w:type="spellStart"/>
      <w:r w:rsidRPr="006A1593">
        <w:rPr>
          <w:sz w:val="24"/>
          <w:szCs w:val="24"/>
          <w:lang w:val="en-US"/>
        </w:rPr>
        <w:t>intrahemorrhage</w:t>
      </w:r>
      <w:proofErr w:type="spellEnd"/>
      <w:r w:rsidRPr="006A1593">
        <w:rPr>
          <w:sz w:val="24"/>
          <w:szCs w:val="24"/>
          <w:lang w:val="en-US"/>
        </w:rPr>
        <w:t xml:space="preserve"> pressure favoring the bulging of the </w:t>
      </w:r>
      <w:r w:rsidR="00184E79" w:rsidRPr="006A1593">
        <w:rPr>
          <w:sz w:val="24"/>
          <w:szCs w:val="24"/>
          <w:lang w:val="en-US"/>
        </w:rPr>
        <w:t>h</w:t>
      </w:r>
      <w:r w:rsidRPr="006A1593">
        <w:rPr>
          <w:sz w:val="24"/>
          <w:szCs w:val="24"/>
          <w:lang w:val="en-US"/>
        </w:rPr>
        <w:t xml:space="preserve">ematoma into surrounding brain structures. </w:t>
      </w:r>
      <w:r w:rsidR="000F1C6B" w:rsidRPr="006A1593">
        <w:rPr>
          <w:sz w:val="24"/>
          <w:szCs w:val="24"/>
          <w:lang w:val="en-US"/>
        </w:rPr>
        <w:t xml:space="preserve">An alternative </w:t>
      </w:r>
      <w:r w:rsidR="00276D18" w:rsidRPr="006A1593">
        <w:rPr>
          <w:sz w:val="24"/>
          <w:szCs w:val="24"/>
          <w:lang w:val="en-US"/>
        </w:rPr>
        <w:t xml:space="preserve">HE </w:t>
      </w:r>
      <w:r w:rsidR="000F1C6B" w:rsidRPr="006A1593">
        <w:rPr>
          <w:sz w:val="24"/>
          <w:szCs w:val="24"/>
          <w:lang w:val="en-US"/>
        </w:rPr>
        <w:t xml:space="preserve">model is ongoing bleeding from the original source. </w:t>
      </w:r>
      <w:r w:rsidR="00276D18" w:rsidRPr="006A1593">
        <w:rPr>
          <w:sz w:val="24"/>
          <w:szCs w:val="24"/>
          <w:lang w:val="en-US"/>
        </w:rPr>
        <w:t>T</w:t>
      </w:r>
      <w:r w:rsidR="000F1C6B" w:rsidRPr="006A1593">
        <w:rPr>
          <w:sz w:val="24"/>
          <w:szCs w:val="24"/>
          <w:lang w:val="en-US"/>
        </w:rPr>
        <w:t>he continuous bleeding from a single source follows a path of least resistance within and s</w:t>
      </w:r>
      <w:r w:rsidR="009C4B86" w:rsidRPr="006A1593">
        <w:rPr>
          <w:sz w:val="24"/>
          <w:szCs w:val="24"/>
          <w:lang w:val="en-US"/>
        </w:rPr>
        <w:t xml:space="preserve">urrounding the hematoma </w:t>
      </w:r>
      <w:r w:rsidR="000F1C6B" w:rsidRPr="006A1593">
        <w:rPr>
          <w:sz w:val="24"/>
          <w:szCs w:val="24"/>
          <w:lang w:val="en-US"/>
        </w:rPr>
        <w:t>which could also produce some of the various NCCT markers.</w:t>
      </w:r>
      <w:r w:rsidR="009134B6" w:rsidRPr="006A1593">
        <w:rPr>
          <w:sz w:val="24"/>
          <w:szCs w:val="24"/>
          <w:lang w:val="en-US"/>
        </w:rPr>
        <w:fldChar w:fldCharType="begin" w:fldLock="1"/>
      </w:r>
      <w:r w:rsidR="00BA1458" w:rsidRPr="006A1593">
        <w:rPr>
          <w:sz w:val="24"/>
          <w:szCs w:val="24"/>
          <w:lang w:val="en-US"/>
        </w:rPr>
        <w:instrText>ADDIN CSL_CITATION {"citationItems":[{"id":"ITEM-1","itemData":{"DOI":"10.1016/S0140-6736(12)60829-0","ISSN":"01406736","PMID":"23000292","author":[{"dropping-particle":"","family":"Dowlatshahi","given":"Dar","non-dropping-particle":"","parse-names":false,"suffix":""},{"dropping-particle":"","family":"Hogan","given":"Matthew J","non-dropping-particle":"","parse-names":false,"suffix":""},{"dropping-particle":"","family":"Sharma","given":"Mukul","non-dropping-particle":"","parse-names":false,"suffix":""},{"dropping-particle":"","family":"Stotts","given":"Grant","non-dropping-particle":"","parse-names":false,"suffix":""},{"dropping-particle":"","family":"Blacquiere","given":"Dylan","non-dropping-particle":"","parse-names":false,"suffix":""},{"dropping-particle":"","family":"Chakraborty","given":"Santanu","non-dropping-particle":"","parse-names":false,"suffix":""}],"container-title":"The Lancet","id":"ITEM-1","issue":"9861","issued":{"date-parts":[["2013","1","12"]]},"page":"152","title":"Ongoing bleeding in acute intracerebral haemorrhage","type":"article-journal","volume":"381"},"uris":["http://www.mendeley.com/documents/?uuid=f5b6e69b-1b9e-38c7-9563-a288182d93db"]}],"mendeley":{"formattedCitation":"&lt;sup&gt;45&lt;/sup&gt;","plainTextFormattedCitation":"45","previouslyFormattedCitation":"&lt;sup&gt;45&lt;/sup&gt;"},"properties":{"noteIndex":0},"schema":"https://github.com/citation-style-language/schema/raw/master/csl-citation.json"}</w:instrText>
      </w:r>
      <w:r w:rsidR="009134B6" w:rsidRPr="006A1593">
        <w:rPr>
          <w:sz w:val="24"/>
          <w:szCs w:val="24"/>
          <w:lang w:val="en-US"/>
        </w:rPr>
        <w:fldChar w:fldCharType="separate"/>
      </w:r>
      <w:r w:rsidR="00BA1458" w:rsidRPr="006A1593">
        <w:rPr>
          <w:noProof/>
          <w:sz w:val="24"/>
          <w:szCs w:val="24"/>
          <w:vertAlign w:val="superscript"/>
          <w:lang w:val="en-US"/>
        </w:rPr>
        <w:t>45</w:t>
      </w:r>
      <w:r w:rsidR="009134B6" w:rsidRPr="006A1593">
        <w:rPr>
          <w:sz w:val="24"/>
          <w:szCs w:val="24"/>
          <w:lang w:val="en-US"/>
        </w:rPr>
        <w:fldChar w:fldCharType="end"/>
      </w:r>
    </w:p>
    <w:p w:rsidR="00460669" w:rsidRPr="006A1593" w:rsidRDefault="00460669">
      <w:pPr>
        <w:pStyle w:val="Heading2"/>
        <w:rPr>
          <w:rFonts w:ascii="Times New Roman" w:hAnsi="Times New Roman"/>
          <w:color w:val="FF0000"/>
          <w:sz w:val="24"/>
          <w:szCs w:val="24"/>
          <w:u w:val="none"/>
          <w:lang w:val="en-US"/>
        </w:rPr>
      </w:pPr>
      <w:r w:rsidRPr="006A1593">
        <w:rPr>
          <w:rFonts w:ascii="Times New Roman" w:hAnsi="Times New Roman"/>
          <w:sz w:val="24"/>
          <w:szCs w:val="24"/>
          <w:u w:val="none"/>
          <w:lang w:val="en-US"/>
        </w:rPr>
        <w:t>Association with ICH expansion and clinical outcomes</w:t>
      </w:r>
    </w:p>
    <w:p w:rsidR="000B4C3E" w:rsidRPr="006A1593" w:rsidRDefault="00D8194C" w:rsidP="00863180">
      <w:pPr>
        <w:rPr>
          <w:sz w:val="24"/>
          <w:szCs w:val="24"/>
          <w:lang w:val="en-US"/>
        </w:rPr>
      </w:pPr>
      <w:r w:rsidRPr="006A1593">
        <w:rPr>
          <w:sz w:val="24"/>
          <w:szCs w:val="24"/>
          <w:lang w:val="en-US"/>
        </w:rPr>
        <w:t xml:space="preserve">The association between </w:t>
      </w:r>
      <w:r w:rsidR="00460669" w:rsidRPr="006A1593">
        <w:rPr>
          <w:sz w:val="24"/>
          <w:szCs w:val="24"/>
          <w:lang w:val="en-US"/>
        </w:rPr>
        <w:t>NCCT signs</w:t>
      </w:r>
      <w:r w:rsidR="00863180" w:rsidRPr="006A1593">
        <w:rPr>
          <w:sz w:val="24"/>
          <w:szCs w:val="24"/>
          <w:lang w:val="en-US"/>
        </w:rPr>
        <w:t xml:space="preserve"> and</w:t>
      </w:r>
      <w:r w:rsidR="00183C63" w:rsidRPr="006A1593">
        <w:rPr>
          <w:sz w:val="24"/>
          <w:szCs w:val="24"/>
          <w:lang w:val="en-US"/>
        </w:rPr>
        <w:t xml:space="preserve"> </w:t>
      </w:r>
      <w:r w:rsidR="0060278D" w:rsidRPr="006A1593">
        <w:rPr>
          <w:sz w:val="24"/>
          <w:szCs w:val="24"/>
          <w:lang w:val="en-US"/>
        </w:rPr>
        <w:t>HE</w:t>
      </w:r>
      <w:r w:rsidR="00460669" w:rsidRPr="006A1593">
        <w:rPr>
          <w:sz w:val="24"/>
          <w:szCs w:val="24"/>
          <w:lang w:val="en-US"/>
        </w:rPr>
        <w:t xml:space="preserve"> has been </w:t>
      </w:r>
      <w:r w:rsidR="00183C63" w:rsidRPr="006A1593">
        <w:rPr>
          <w:sz w:val="24"/>
          <w:szCs w:val="24"/>
          <w:lang w:val="en-US"/>
        </w:rPr>
        <w:t>described</w:t>
      </w:r>
      <w:r w:rsidR="00460669" w:rsidRPr="006A1593">
        <w:rPr>
          <w:sz w:val="24"/>
          <w:szCs w:val="24"/>
          <w:lang w:val="en-US"/>
        </w:rPr>
        <w:t xml:space="preserve"> in observational studies</w:t>
      </w:r>
      <w:r w:rsidR="005E0AFB" w:rsidRPr="006A1593">
        <w:rPr>
          <w:sz w:val="24"/>
          <w:szCs w:val="24"/>
          <w:lang w:val="en-US"/>
        </w:rPr>
        <w:t>,</w:t>
      </w:r>
      <w:r w:rsidR="00460669" w:rsidRPr="006A1593">
        <w:rPr>
          <w:sz w:val="24"/>
          <w:szCs w:val="24"/>
          <w:lang w:val="en-US"/>
        </w:rPr>
        <w:t xml:space="preserve"> </w:t>
      </w:r>
      <w:r w:rsidR="00E64FFC" w:rsidRPr="006A1593">
        <w:rPr>
          <w:sz w:val="24"/>
          <w:szCs w:val="24"/>
          <w:lang w:val="en-US"/>
        </w:rPr>
        <w:t>RCT</w:t>
      </w:r>
      <w:r w:rsidR="00863180" w:rsidRPr="006A1593">
        <w:rPr>
          <w:sz w:val="24"/>
          <w:szCs w:val="24"/>
          <w:lang w:val="en-US"/>
        </w:rPr>
        <w:t xml:space="preserve"> populations</w:t>
      </w:r>
      <w:r w:rsidR="005E0AFB" w:rsidRPr="006A1593">
        <w:rPr>
          <w:sz w:val="24"/>
          <w:szCs w:val="24"/>
          <w:lang w:val="en-US"/>
        </w:rPr>
        <w:t xml:space="preserve"> and meta-analyses based on summary data</w:t>
      </w:r>
      <w:r w:rsidR="00C73B4E" w:rsidRPr="006A1593">
        <w:rPr>
          <w:sz w:val="24"/>
          <w:szCs w:val="24"/>
          <w:lang w:val="en-US"/>
        </w:rPr>
        <w:fldChar w:fldCharType="begin" w:fldLock="1"/>
      </w:r>
      <w:r w:rsidR="00BA1458" w:rsidRPr="006A1593">
        <w:rPr>
          <w:sz w:val="24"/>
          <w:szCs w:val="24"/>
          <w:lang w:val="en-US"/>
        </w:rPr>
        <w:instrText>ADDIN CSL_CITATION {"citationItems":[{"id":"ITEM-1","itemData":{"DOI":"10.1016/j.wneu.2018.11.239","ISSN":"18788750","PMID":"30554002","abstract":"OBJECTIVE Intracerebral hemorrhage (ICH) is a type of stroke that leads to high mortality. Hematoma growth (HG) happens in about one third of all patients with ICH and is independently related to poor outcome. Previous studies have shown that an indicator on noncontrast computed tomography, called hypodensities, can predict HG in patients with ICH. Thus, this study was done to assess the predictive validity of this marker. METHODS Bibliographic databases were searched, without language restriction, for original investigation on hypodensities and HG in ICH. Data were extracted, and study quality was assessed by 2 reviewers independently. Pooled sensitivity, specificity, positive likelihood ratio (LR), negative LR, diagnostic odds ratio, and their 95% confidence intervals (CIs) were obtained. A summary receiver operating characteristic curve was depicted. RESULTS Five cohorts with 2157 patients in 4 studies were included in the present meta-analysis. The pooled sensitivity was 0.58 (95% CI 0.46-0.68) and the pooled specificity was 0.71 (95% CI 0.62-0.79). In addition, the pooled positive LR was 2.0 (95% CI 1.6-2.5) and the pooled negative LR was 0.60 (95% CI 0.49-0.73). The pooled diagnostic odds ratio was 3 (95% CI 2-5) and the area under summary receiver operating characteristic curve was 0.69 (95% CI 0.65-0.73). CONCLUSIONS This study suggests that hypodensities on noncontrast computed tomography can be helpful in HG prediction, although its pooled predictive values are not very satisfying in the current study. The role of hypodensities in predicting HG should be confirmed by further studies.","author":[{"dropping-particle":"","family":"Yu","given":"Zhiyuan","non-dropping-particle":"","parse-names":false,"suffix":""},{"dropping-particle":"","family":"Zheng","given":"Jun","non-dropping-particle":"","parse-names":false,"suffix":""},{"dropping-particle":"","family":"Ma","given":"Lu","non-dropping-particle":"","parse-names":false,"suffix":""},{"dropping-particle":"","family":"Guo","given":"Rui","non-dropping-particle":"","parse-names":false,"suffix":""},{"dropping-particle":"","family":"You","given":"Chao","non-dropping-particle":"","parse-names":false,"suffix":""},{"dropping-particle":"","family":"Li","given":"Hao","non-dropping-particle":"","parse-names":false,"suffix":""}],"container-title":"World Neurosurgery","id":"ITEM-1","issued":{"date-parts":[["2019","3"]]},"page":"e639-e645","title":"Predictive Validity of Hypodensities on Noncontrast Computed Tomography for Hematoma Growth in Intracerebral Hemorrhage: a Meta-Analysis","type":"article-journal","volume":"123"},"uris":["http://www.mendeley.com/documents/?uuid=81daf1eb-ea1f-3b3b-8325-70d6f4b8d763"]},{"id":"ITEM-2","itemData":{"DOI":"10.1155/2018/6038193","ISSN":"2314-6133","PMID":"29546065","abstract":"&lt;p&gt; &lt;italic&gt;Background and Purpose&lt;/italic&gt; . Hematoma expansion (HE) is related to clinical deterioration after intracerebral hemorrhage (ICH) and noncontrast computed tomography (NCCT) signs are indicated as predictors for HE but with inconsistent conclusions. We aim to clarify the correlations of NCCT heterogeneity signs with HE by meta-analysis of related studies. &lt;italic&gt;Methods&lt;/italic&gt; . PubMed, Embase, and Cochrane library were searched for eligible studies exploring the relationships between NCCT heterogeneity signs (hypodensity, mixed density, swirl sign, blend sign, and black hole sign) and HE. Poor outcome and mortality were considered as secondary outcomes. Odds ratio (OR) and its 95% confidence intervals (CIs) were selected as the effect size and combined using random effects model. &lt;italic&gt;Results&lt;/italic&gt; . Fourteen studies were included, involving 3240 participants and 435 HEs. The summary results suggested statistically significant correlations of heterogeneity signs with HE (OR, 5.17; 95% CI, 3.72–7.19, &lt;math id=\"M1\"&gt; &lt;mi&gt;P&lt;/mi&gt; &lt;mo&gt;&amp;lt;&lt;/mo&gt; &lt;mn fontstyle=\"italic\"&gt;0.001&lt;/mn&gt; &lt;/math&gt; ), poor outcome (OR, 3.60; 95% CI, 1.98–6.54, &lt;math id=\"M2\"&gt; &lt;mi&gt;P&lt;/mi&gt; &lt;mo&gt;&amp;lt;&lt;/mo&gt; &lt;mn fontstyle=\"italic\"&gt;0.001&lt;/mn&gt; &lt;/math&gt; ), and mortality (OR, 4.64; 95%, 2.96–7.27, &lt;math id=\"M3\"&gt; &lt;mi&gt;P&lt;/mi&gt; &lt;mo&gt;&amp;lt;&lt;/mo&gt; &lt;mn fontstyle=\"italic\"&gt;0.001&lt;/mn&gt; &lt;/math&gt; ). &lt;italic&gt;Conclusions&lt;/italic&gt; . Our findings suggested that hematoma heterogeneity signs on NCCT were positively associated with the increased risk of HE, poor outcome, and mortality rate in ICH. &lt;/p&gt;","author":[{"dropping-particle":"","family":"Zhang","given":"Danfeng","non-dropping-particle":"","parse-names":false,"suffix":""},{"dropping-particle":"","family":"Chen","given":"Jigang","non-dropping-particle":"","parse-names":false,"suffix":""},{"dropping-particle":"","family":"Xue","given":"Qiang","non-dropping-particle":"","parse-names":false,"suffix":""},{"dropping-particle":"","family":"Du","given":"Bingying","non-dropping-particle":"","parse-names":false,"suffix":""},{"dropping-particle":"","family":"Li","given":"Ya","non-dropping-particle":"","parse-names":false,"suffix":""},{"dropping-particle":"","family":"Chen","given":"Tao","non-dropping-particle":"","parse-names":false,"suffix":""},{"dropping-particle":"","family":"Jiang","given":"Ying","non-dropping-particle":"","parse-names":false,"suffix":""},{"dropping-particle":"","family":"Hou","given":"Lijun","non-dropping-particle":"","parse-names":false,"suffix":""},{"dropping-particle":"","family":"Dong","given":"Yan","non-dropping-particle":"","parse-names":false,"suffix":""},{"dropping-particle":"","family":"Wang","given":"Junyu","non-dropping-particle":"","parse-names":false,"suffix":""}],"container-title":"BioMed Research International","id":"ITEM-2","issued":{"date-parts":[["2018"]]},"page":"1-9","title":"Heterogeneity Signs on Noncontrast Computed Tomography Predict Hematoma Expansion after Intracerebral Hemorrhage: A Meta-Analysis","type":"article-journal","volume":"2018"},"uris":["http://www.mendeley.com/documents/?uuid=53694fea-2e59-311e-9c39-0ab64756d51d"]},{"id":"ITEM-3","itemData":{"DOI":"10.1016/j.wneu.2017.09.022","ISSN":"18788750","PMID":"28919232","abstract":"OBJECTIVE This systematic review and meta-analysis was aimed to evaluate the predictive values of shape irregularity and density heterogeneity of hematoma on noncontrast computed tomography (NCCT) for hematoma expansion (HE). METHODS A literature search was performed in PubMed, Embase, Scopus, Web of Science, and Cochrane Library. Studies about predictive values of shape regularity or density heterogeneity of hematoma on NCCT for HE in spontaneous intracerebral hemorrhage were included. Meta-analysis was performed to pool the data. Publication bias assessment, subgroup analysis, and univariate meta-regression were conducted. RESULTS A total of 7 studies with 2294 patients were included. The pooled sensitivity, specificity, positive likelihood ratio, and negative likelihood ratio of shape irregularity were 67%, 47%, 1.30, and 0.71, respectively. In contrast, the pooled sensitivity, specificity, positive likelihood ratio, and negative likelihood ratio of density irregularity were 52%, 69%, 1.70, and 0.69, respectively. CONCLUSIONS Considering the relatively low sensitivity and specificity, the predictive values of shape irregularity and density heterogeneity of hematoma for HE are limited. Further studies are still needed to find optimal NCCT predictors for HE in spontaneous intracerebral hemorrhage patients.","author":[{"dropping-particle":"","family":"Yu","given":"Zhiyuan","non-dropping-particle":"","parse-names":false,"suffix":""},{"dropping-particle":"","family":"Zheng","given":"Jun","non-dropping-particle":"","parse-names":false,"suffix":""},{"dropping-particle":"","family":"Xu","given":"Zhao","non-dropping-particle":"","parse-names":false,"suffix":""},{"dropping-particle":"","family":"Li","given":"Mou","non-dropping-particle":"","parse-names":false,"suffix":""},{"dropping-particle":"","family":"Wang","given":"Xiaoze","non-dropping-particle":"","parse-names":false,"suffix":""},{"dropping-particle":"","family":"Lin","given":"Sen","non-dropping-particle":"","parse-names":false,"suffix":""},{"dropping-particle":"","family":"Li","given":"Hao","non-dropping-particle":"","parse-names":false,"suffix":""},{"dropping-particle":"","family":"You","given":"Chao","non-dropping-particle":"","parse-names":false,"suffix":""}],"container-title":"World Neurosurgery","id":"ITEM-3","issued":{"date-parts":[["2017","12"]]},"page":"347-355","title":"Accuracy of Shape Irregularity and Density Heterogeneity on Noncontrast Computed Tomography for Predicting Hematoma Expansion in Spontaneous Intracerebral Hemorrhage: A Systematic Review and Meta-Analysis","type":"article-journal","volume":"108"},"uris":["http://www.mendeley.com/documents/?uuid=20f685eb-0c56-3e14-aa70-affc501d3642"]},{"id":"ITEM-4","itemData":{"DOI":"10.1001/jamaneurol.2016.1218","ISSN":"2168-6157","PMID":"27323314","abstract":"Importance Hematoma expansion is a potentially modifiable predictor of poor outcome following an acute intracerebral hemorrhage (ICH). The ability to identify patients with ICH who are likeliest to experience hematoma expansion and therefore likeliest to benefit from expansion-targeted treatments remains an unmet need. Hypodensities within an ICH detected by noncontrast computed tomography (NCCT) have been suggested as a predictor of hematoma expansion. Objective To determine whether hypodense regions, irrespective of their specific patterns, are associated with hematoma expansion in patients with ICH. Design, Setting, and Participants We analyzed a large cohort of 784 patients with ICH (the development cohort; 55.6% female), examined NCCT findings for any hypodensity, and replicated our findings on a different cohort of patients (the replication cohort; 52.7% female). Baseline and follow-up NCCT data from consecutive patients with ICH presenting to a tertiary care hospital between 1994 and 2015 were retrospectively analyzed. Data analyses were performed between December 2015 and January 2016. Main Outcomes and Measures Hypodensities were analyzed by 2 independent blinded raters. The association between hypodensities and hematoma expansion (&gt;6 cm3 or 33% of baseline volume) was determined by multivariable logistic regression after controlling for other variables associated with hematoma expansion in univariate analyses with P </w:instrText>
      </w:r>
      <w:r w:rsidR="00BA1458" w:rsidRPr="006A1593">
        <w:rPr>
          <w:rFonts w:hint="eastAsia"/>
          <w:sz w:val="24"/>
          <w:szCs w:val="24"/>
          <w:lang w:val="en-US"/>
        </w:rPr>
        <w:instrText>≤</w:instrText>
      </w:r>
      <w:r w:rsidR="00BA1458" w:rsidRPr="006A1593">
        <w:rPr>
          <w:sz w:val="24"/>
          <w:szCs w:val="24"/>
          <w:lang w:val="en-US"/>
        </w:rPr>
        <w:instrText> .10. Results A total of 1029 patients were included in the analysis. In the development and replication cohorts, 222 of 784 patients (28.3%) and 99 of 245 patients (40.4%; 321 of 1029 patients [31.2%]), respectively, had NCCT scans that demonstrated hypodensities at baseline (κ = 0.87 for interrater reliability). In univariate analyses, hypodensities were associated with hematoma expansion (86 of 163 patients with hematoma expansion had hypodensities [52.8%], whereas 136 of 621 patients without hematoma expansion had hypodensities [21.9%]; P &lt; .001). The association between hypodensities and hematoma expansion remained significant (odds ratio, 3.42 [95% CI, 2.21-5.31]; P &lt; .001) in a multivariable model; other independent predictors of hematoma expansion were a CT angiography spot sign, a shorter time to CT, warfarin use, and older age. The independent predictive value of hypodensities was again demonstrated in the replication cohort (odds ratio, 4.37 [95% CI, 2.05-9.62]; P &lt; .001). Conclusion and Relevance Hypodensities within a…","author":[{"dropping-particle":"","family":"Boulouis","given":"Gregoire","non-dropping-particle":"","parse-names":false,"suffix":""},{"dropping-particle":"","family":"Morotti","given":"Andrea","non-dropping-particle":"","parse-names":false,"suffix":""},{"dropping-particle":"","family":"Brouwers","given":"H Bart","non-dropping-particle":"","parse-names":false,"suffix":""},{"dropping-particle":"","family":"Charidimou","given":"Andreas","non-dropping-particle":"","parse-names":false,"suffix":""},{"dropping-particle":"","family":"Jessel","given":"Michael J","non-dropping-particle":"","parse-names":false,"suffix":""},{"dropping-particle":"","family":"Auriel","given":"Eitan","non-dropping-particle":"","parse-names":false,"suffix":""},{"dropping-particle":"","family":"Pontes-Neto","given":"Octávio","non-dropping-particle":"","parse-names":false,"suffix":""},{"dropping-particle":"","family":"Ayres","given":"Alison","non-dropping-particle":"","parse-names":false,"suffix":""},{"dropping-particle":"","family":"Vashkevich","given":"Anastasia","non-dropping-particle":"","parse-names":false,"suffix":""},{"dropping-particle":"","family":"Schwab","given":"Kristin M","non-dropping-particle":"","parse-names":false,"suffix":""},{"dropping-particle":"","family":"Rosand","given":"Jonathan","non-dropping-particle":"","parse-names":false,"suffix":""},{"dropping-particle":"","family":"Viswanathan","given":"Anand","non-dropping-particle":"","parse-names":false,"suffix":""},{"dropping-particle":"","family":"Gurol","given":"Mahmut E","non-dropping-particle":"","parse-names":false,"suffix":""},{"dropping-particle":"","family":"Greenberg","given":"Steven M","non-dropping-particle":"","parse-names":false,"suffix":""},{"dropping-particle":"","family":"Goldstein","given":"Joshua N","non-dropping-particle":"","parse-names":false,"suffix":""}],"container-title":"JAMA neurology","id":"ITEM-4","issued":{"date-parts":[["2016","6","20"]]},"title":"Association Between Hypodensities Detected by Computed Tomography and Hematoma Expansion in Patients With Intracerebral Hemorrhage.","type":"article-journal"},"uris":["http://www.mendeley.com/documents/?uuid=dbc1b3fc-9435-332e-92d1-c806c522acd0"]},{"id":"ITEM-5","itemData":{"DOI":"10.1212/WNL.0000000000004210","ISSN":"1526-632X","PMID":"28701501","abstract":"OBJECTIVE To validate various noncontrast CT (NCCT) predictors of hematoma expansion in a large international cohort of ICH patients and investigate whether intensive blood pressure (BP) treatment reduces ICH growth and improves outcome in patients with these markers. METHODS We analyzed patients enrolled in the Antihypertensive Treatment of Acute Cerebral Hemorrhage II (ATACH-II) randomized controlled trial. Participants were assigned to intensive (systolic BP &lt;140 mm Hg) vs standard (systolic BP &lt;180 mm Hg) treatment within 4.5 hours from onset. The following NCCT markers were identified: intrahematoma hypodensities, black hole sign, swirl sign, blend sign, heterogeneous hematoma density, and irregular shape. ICH expansion was defined as hematoma growth &gt;33% and unfavorable outcome was defined as modified Rankin Scale score &gt;3 at 90 days. Logistic regression was used to identify predictors of ICH expansion and explore the association between NCCT signs and clinical benefit from intensive BP treatment. RESULTS A total of 989 patients were included (mean age 62 years, 61.9% male), of whom 186/869 experienced hematoma expansion (21.4%) and 361/952 (37.9%) had unfavorable outcome. NCCT markers independently predicted ICH expansion (all p &lt; 0.01) with overall accuracy ranging from 61% to 78% and good interrater reliability (k &gt; 0.6 for all markers). There was no evidence of an interaction between NCCT markers and benefit from intensive BP reduction (all p for interaction &gt;0.10). CONCLUSIONS NCCT signs reliably identify ICH patients at high risk of hematoma growth. However, we found no evidence that patients with these markers specifically benefit from intensive BP reduction. CLINICALTRIALSGOV IDENTIFIER NCT01176565.","author":[{"dropping-particle":"","family":"Morotti","given":"Andrea","non-dropping-particle":"","parse-names":false,"suffix":""},{"dropping-particle":"","family":"Boulouis","given":"Gregoire","non-dropping-particle":"","parse-names":false,"suffix":""},{"dropping-particle":"","family":"Romero","given":"Javier M","non-dropping-particle":"","parse-names":false,"suffix":""},{"dropping-particle":"","family":"Brouwers","given":"H Bart","non-dropping-particle":"","parse-names":false,"suffix":""},{"dropping-particle":"","family":"Jessel","given":"Michael J","non-dropping-particle":"","parse-names":false,"suffix":""},{"dropping-particle":"","family":"Vashkevich","given":"Anastasia","non-dropping-particle":"","parse-names":false,"suffix":""},{"dropping-particle":"","family":"Schwab","given":"Kristin","non-dropping-particle":"","parse-names":false,"suffix":""},{"dropping-particle":"","family":"Afzal","given":"Mohammad Rauf","non-dropping-particle":"","parse-names":false,"suffix":""},{"dropping-particle":"","family":"Cassarly","given":"Christy","non-dropping-particle":"","parse-names":false,"suffix":""},{"dropping-particle":"","family":"Greenberg","given":"Steven M","non-dropping-particle":"","parse-names":false,"suffix":""},{"dropping-particle":"","family":"Martin","given":"Reneé Hebert","non-dropping-particle":"","parse-names":false,"suffix":""},{"dropping-particle":"","family":"Qureshi","given":"Adnan I","non-dropping-particle":"","parse-names":false,"suffix":""},{"dropping-particle":"","family":"Rosand","given":"Jonathan","non-dropping-particle":"","parse-names":false,"suffix":""},{"dropping-particle":"","family":"Goldstein","given":"Joshua N","non-dropping-particle":"","parse-names":false,"suffix":""},{"dropping-particle":"","family":"ATACH-II and NETT investigators","given":"","non-dropping-particle":"","parse-names":false,"suffix":""}],"container-title":"Neurology","id":"ITEM-5","issue":"6","issued":{"date-parts":[["2017","8","8"]]},"page":"548-554","title":"Blood pressure reduction and noncontrast CT markers of intracerebral hemorrhage expansion.","type":"article-journal","volume":"89"},"uris":["http://www.mendeley.com/documents/?uuid=0318d940-0cb6-3723-9dcb-3581f4fc64c0"]},{"id":"ITEM-6","itemData":{"DOI":"10.1007/s10072-017-3006-6","ISSN":"1590-1874","PMID":"28577268","abstract":"In patients with spontaneous intracerebral hemorrhage (sICH), hematoma expansion (HE) is associated with poor outcome. Spot sign and black hole sign are neuroimaging predictors for HE. This study was aimed to compare the predictive value of two signs for HE. Within 6 h after onset of sICH, patients were screened for the computed tomography angiography spot sign and the non-contrast computed tomography black hole sign. The sensitivity, specificity, positive predictive value (PPV), and negative predictive value (NPV) of two signs for HE prediction were calculated. The accuracy of two signs in predicting HE was analyzed by receiver-operator analysis. A total of 129 patients were included in this study. Spot sign was identified in 30 (23.3%) patients and black hole sign in 29 (22.5%) patients, respectively. Of 32 patients with HE, spot sign was observed in 19 (59.4%) and black hole sign was found in 14 (43.8%). The occurrence of black hole sign was significantly associated with spot sign (P &lt; 0.001). The sensitivity, specificity, PPV, and NPV of spot sign for predicting HE were 59.38, 88.66, 63.33, and 86.87% respectively. In contrast, the sensitivity, specificity, PPV, and NPV of black hole sign for predicting HE were 43.75, 84.54, 48.28, and 82.00%, respectively. The area under the curve was 0.740 for spot sign and 0.641 for black hole sign. (P = 0.228) Both spot sign and black hole sign appeared to have good predictive value for HE, and spot sign seemed to be a better predictor.","author":[{"dropping-particle":"","family":"Yu","given":"Zhiyuan","non-dropping-particle":"","parse-names":false,"suffix":""},{"dropping-particle":"","family":"Zheng","given":"Jun","non-dropping-particle":"","parse-names":false,"suffix":""},{"dropping-particle":"","family":"Ma","given":"Lu","non-dropping-particle":"","parse-names":false,"suffix":""},{"dropping-particle":"","family":"Guo","given":"Rui","non-dropping-particle":"","parse-names":false,"suffix":""},{"dropping-particle":"","family":"Li","given":"Mou","non-dropping-particle":"","parse-names":false,"suffix":""},{"dropping-particle":"","family":"Wang","given":"Xiaoze","non-dropping-particle":"","parse-names":false,"suffix":""},{"dropping-particle":"","family":"Lin","given":"Sen","non-dropping-particle":"","parse-names":false,"suffix":""},{"dropping-particle":"","family":"Li","given":"Hao","non-dropping-particle":"","parse-names":false,"suffix":""},{"dropping-particle":"","family":"You","given":"Chao","non-dropping-particle":"","parse-names":false,"suffix":""}],"container-title":"Neurological Sciences","id":"ITEM-6","issue":"9","issued":{"date-parts":[["2017","9","2"]]},"page":"1591-1597","title":"The predictive accuracy of the black hole sign and the spot sign for hematoma expansion in patients with spontaneous intracerebral hemorrhage","type":"article-journal","volume":"38"},"uris":["http://www.mendeley.com/documents/?uuid=f5b03bf0-fe23-322c-8bab-842cda156a2d"]},{"id":"ITEM-7","itemData":{"DOI":"10.1161/STROKEAHA.116.012921","ISSN":"0039-2499, 1524-4628","PMID":"27073236","abstract":"Background and Purpose—In patients with acute intracerebral hemorrhage (ICH), the shape and density of the hematoma are associated with its subsequent growth, but the impact of these parameters on clinical outcome is uncertain.\nMethods—Baseline computed tomographic scans and clinical data were obtained in the Intensive Blood Pressure Reduction in Acute Intracerebral Hemorrhage Trial (INTERACT2). Three independent neurologists blind to clinical data a</w:instrText>
      </w:r>
      <w:r w:rsidR="00BA1458" w:rsidRPr="006A1593">
        <w:rPr>
          <w:rFonts w:hint="eastAsia"/>
          <w:sz w:val="24"/>
          <w:szCs w:val="24"/>
          <w:lang w:val="en-US"/>
        </w:rPr>
        <w:instrText xml:space="preserve">ssessed ICH for shape and density using a previously described scale. Shape was defined as irregular when the ICH had </w:instrText>
      </w:r>
      <w:r w:rsidR="00BA1458" w:rsidRPr="006A1593">
        <w:rPr>
          <w:rFonts w:hint="eastAsia"/>
          <w:sz w:val="24"/>
          <w:szCs w:val="24"/>
          <w:lang w:val="en-US"/>
        </w:rPr>
        <w:instrText>≥</w:instrText>
      </w:r>
      <w:r w:rsidR="00BA1458" w:rsidRPr="006A1593">
        <w:rPr>
          <w:rFonts w:hint="eastAsia"/>
          <w:sz w:val="24"/>
          <w:szCs w:val="24"/>
          <w:lang w:val="en-US"/>
        </w:rPr>
        <w:instrText xml:space="preserve">2 extra lesions added to the ellipsoid-shaped ICH. Density was heterogeneous when there were </w:instrText>
      </w:r>
      <w:r w:rsidR="00BA1458" w:rsidRPr="006A1593">
        <w:rPr>
          <w:rFonts w:hint="eastAsia"/>
          <w:sz w:val="24"/>
          <w:szCs w:val="24"/>
          <w:lang w:val="en-US"/>
        </w:rPr>
        <w:instrText>≥</w:instrText>
      </w:r>
      <w:r w:rsidR="00BA1458" w:rsidRPr="006A1593">
        <w:rPr>
          <w:rFonts w:hint="eastAsia"/>
          <w:sz w:val="24"/>
          <w:szCs w:val="24"/>
          <w:lang w:val="en-US"/>
        </w:rPr>
        <w:instrText>3 low-density lesions within the ICH. Outc</w:instrText>
      </w:r>
      <w:r w:rsidR="00BA1458" w:rsidRPr="006A1593">
        <w:rPr>
          <w:sz w:val="24"/>
          <w:szCs w:val="24"/>
          <w:lang w:val="en-US"/>
        </w:rPr>
        <w:instrText>ome measures were death and major disability (modified Rankin scale score of 3–5), combined and separate at 90-day postrandomization. Multivariable logistic regression models were used to determine the significance of hematoma characteristics on outcome.\nResults—There were 2066 patient computed tomographic scans included in the analysis, with 46% and 38% having irregular and heterogeneous ICH, respectively. Irregular shape was independently associated with death/major disability (adjusted odds ratio, 1.60; 95% confidence interval [CI], 1.29–1.98) and major disability alone (adjusted odds ratio, 1.60; 95% CI, 1.31–1.95), but not with death alone (adjusted odds ratio, 0.97; 95% CI, 0.68–1.39). Heterogeneous density was not associated with clinical outcomes (adjusted odds ratio, 1.06; 95% CI, 0.85–1.33), 1.04 (95% CI, 0.73–1.48), and 1.14 (95% CI, 0.93–1.39), respectively, for death/major disability, death alone, and disability alone).\nConclusions—Irregular shape, but not heterogeneous density, is independently associated with poor outcome after ICH.\nClinical Trial Registration—URL: http://www.clinicaltrials.gov. Unique identifier: NCT00716079.","author":[{"dropping-particle":"","family":"Delcourt","given":"Candice","non-dropping-particle":"","parse-names":false,"suffix":""},{"dropping-particle":"","family":"Zhang","given":"Shihong","non-dropping-particle":"","parse-names":false,"suffix":""},{"dropping-particle":"","family":"Arima","given":"Hisatomi","non-dropping-particle":"","parse-names":false,"suffix":""},{"dropping-particle":"","family":"Sato","given":"Shoichiro","non-dropping-particle":"","parse-names":false,"suffix":""},{"dropping-particle":"","family":"Salman","given":"Rustam Al-Shahi","non-dropping-particle":"","parse-names":false,"suffix":""},{"dropping-particle":"","family":"Wang","given":"Xia","non-dropping-particle":"","parse-names":false,"suffix":""},{"dropping-particle":"","family":"Davies","given":"Leo","non-dropping-particle":"","parse-names":false,"suffix":""},{"dropping-particle":"","family":"Stapf","given":"Christian","non-dropping-particle":"","parse-names":false,"suffix":""},{"dropping-particle":"","family":"Robinson","given":"Thompson","non-dropping-particle":"","parse-names":false,"suffix":""},{"dropping-particle":"","family":"Lavados","given":"Pablo M.","non-dropping-particle":"","parse-names":false,"suffix":""},{"dropping-particle":"","family":"Chalmers","given":"John","non-dropping-particle":"","parse-names":false,"suffix":""},{"dropping-particle":"","family":"Heeley","given":"Emma","non-dropping-particle":"","parse-names":false,"suffix":""},{"dropping-particle":"","family":"Liu","given":"Ming","non-dropping-particle":"","parse-names":false,"suffix":""},{"dropping-particle":"","family":"Lindley","given":"Richard I.","non-dropping-particle":"","parse-names":false,"suffix":""},{"dropping-particle":"","family":"Anderson","given":"Craig S.","non-dropping-particle":"","parse-names":false,"suffix":""},{"dropping-particle":"","family":"Investigators","given":"for the INTERACT2","non-dropping-particle":"","parse-names":false,"suffix":""}],"container-title":"Stroke","id":"ITEM-7","issue":"5","issued":{"date-parts":[["2016","5"]]},"language":"en","page":"1227-1232","title":"Significance of Hematoma Shape and Density in Intracerebral Hemorrhage The Intensive Blood Pressure Reduction in Acute Intracerebral Hemorrhage Trial Study","type":"article-journal","volume":"47"},"uris":["http://www.mendeley.com/documents/?uuid=65a3c181-91e4-4608-8376-20655f25de6f"]}],"mendeley":{"formattedCitation":"&lt;sup&gt;25,46–51&lt;/sup&gt;","plainTextFormattedCitation":"25,46–51","previouslyFormattedCitation":"&lt;sup&gt;25,46–51&lt;/sup&gt;"},"properties":{"noteIndex":0},"schema":"https://github.com/citation-style-language/schema/raw/master/csl-citation.json"}</w:instrText>
      </w:r>
      <w:r w:rsidR="00C73B4E" w:rsidRPr="006A1593">
        <w:rPr>
          <w:sz w:val="24"/>
          <w:szCs w:val="24"/>
          <w:lang w:val="en-US"/>
        </w:rPr>
        <w:fldChar w:fldCharType="separate"/>
      </w:r>
      <w:r w:rsidR="00BA1458" w:rsidRPr="006A1593">
        <w:rPr>
          <w:noProof/>
          <w:sz w:val="24"/>
          <w:szCs w:val="24"/>
          <w:vertAlign w:val="superscript"/>
          <w:lang w:val="en-US"/>
        </w:rPr>
        <w:t>25,46–51</w:t>
      </w:r>
      <w:r w:rsidR="00C73B4E" w:rsidRPr="006A1593">
        <w:rPr>
          <w:sz w:val="24"/>
          <w:szCs w:val="24"/>
          <w:lang w:val="en-US"/>
        </w:rPr>
        <w:fldChar w:fldCharType="end"/>
      </w:r>
      <w:r w:rsidR="00863180" w:rsidRPr="006A1593">
        <w:rPr>
          <w:sz w:val="24"/>
          <w:szCs w:val="24"/>
          <w:lang w:val="en-US"/>
        </w:rPr>
        <w:t xml:space="preserve">. Table 2 </w:t>
      </w:r>
      <w:r w:rsidR="00D930EC" w:rsidRPr="006A1593">
        <w:rPr>
          <w:sz w:val="24"/>
          <w:szCs w:val="24"/>
          <w:lang w:val="en-US"/>
        </w:rPr>
        <w:t>illustrates</w:t>
      </w:r>
      <w:r w:rsidR="00863180" w:rsidRPr="006A1593">
        <w:rPr>
          <w:sz w:val="24"/>
          <w:szCs w:val="24"/>
          <w:lang w:val="en-US"/>
        </w:rPr>
        <w:t xml:space="preserve"> the prevalence and test characteristics of different NCCT markers of HE. For clinical translation and use of NCCT markers, in addition to a strong independent association with HE,</w:t>
      </w:r>
      <w:r w:rsidR="00863180" w:rsidRPr="006A1593">
        <w:rPr>
          <w:sz w:val="24"/>
          <w:szCs w:val="24"/>
          <w:lang w:val="en-US"/>
        </w:rPr>
        <w:fldChar w:fldCharType="begin" w:fldLock="1"/>
      </w:r>
      <w:r w:rsidR="00BA1458" w:rsidRPr="006A1593">
        <w:rPr>
          <w:sz w:val="24"/>
          <w:szCs w:val="24"/>
          <w:lang w:val="en-US"/>
        </w:rPr>
        <w:instrText>ADDIN CSL_CITATION {"citationItems":[{"id":"ITEM-1","itemData":{"DOI":"10.1161/STROKEAHA.108.536888","ISBN":"1524-4628 (Electronic)","ISSN":"00392499","PMID":"19286590","abstract":"BACKGROUND AND PURPOSE: Intracerebral hemorrhage (ICH) growth predicts mortality and functional outcome. We hypothesized that irregular hematoma shape and density heterogeneity, reflecting active, multifocal bleeding or a variable bleeding time course, would predict ICH growth. METHODS: Three raters examined baseline sub-3-hour CT brain scans of 90 patients in the placebo arm of a Phase IIb trial of recombinant activated Factor VII in ICH. Each rater, blinded to growth data, independently applied novel 5-point categorical scales of density and shape to randomly presented baseline CT images of ICH. Density and shape were defined as either homogeneous/regular (Category 1 to 2) or heterogeneous/irregular (Category 3 to 5). Within- and between-rater reliability was determined for these scales. Growth was assessed as a continuous variable and using 3 binary definitions: (1) any ICH growth; (2) &gt;or=33% or &gt;or=12.5 mL ICH growth; and (3) radial growth &gt;1 mm between baseline and 24-hour CT scan. Patients were divided into tertiles of baseline ICH volume: \"small\" (0 to 10 mL), \"medium\" (10 to 25 mL), and \"large\" (25 to 106 mL). RESULTS: Inter- and intrarater agreements for the novel scales exceeded 85% (+/-1 category). Median growth was significantly higher in the large-volume group compared with the small group (P&lt;0.001) and in heterogeneous compared with homogeneous ICH (P=0.008). Median growth trended higher in irregular ICHs compared with regular ICHs (P=0.084). Small ICHs were more regularly shaped (43%) than medium (17%) and large (3%) ICHs (P&lt;0.001). Small ICHs were more homogeneous (73%) compared with medium (37%) and large (17%) ICHs (P&lt;0.001). Adjusting for baseline ICH volume and time to scan, density heterogeneity, but not shape irregularity, independently predicted ICH growth (P=0.046) on a continuous growth scale. CONCLUSIONS: Large ICHs were significantly more irregular in shape, heterogeneous in density, and had greater growth. Density heterogeneity independently predicted ICH growth using some definitions.","author":[{"dropping-particle":"","family":"Barras","given":"Christen D.","non-dropping-particle":"","parse-names":false,"suffix":""},{"dropping-particle":"","family":"Tress","given":"Brian M.","non-dropping-particle":"","parse-names":false,"suffix":""},{"dropping-particle":"","family":"Christensen","given":"Soren","non-dropping-particle":"","parse-names":false,"suffix":""},{"dropping-particle":"","family":"MacGregor","given":"Lachlan","non-dropping-particle":"","parse-names":false,"suffix":""},{"dropping-particle":"","family":"Collins","given":"Mamie","non-dropping-particle":"","parse-names":false,"suffix":""},{"dropping-particle":"","family":"Desmond","given":"Patricia M.","non-dropping-particle":"","parse-names":false,"suffix":""},{"dropping-particle":"","family":"Skolnick","given":"Brett E.","non-dropping-particle":"","parse-names":false,"suffix":""},{"dropping-particle":"","family":"Mayer","given":"Stephan a.","non-dropping-particle":"","parse-names":false,"suffix":""},{"dropping-particle":"","family":"Broderick","given":"Joseph P.","non-dropping-particle":"","parse-names":false,"suffix":""},{"dropping-particle":"","family":"Diringer","given":"Michael N.","non-dropping-particle":"","parse-names":false,"suffix":""},{"dropping-particle":"","family":"Steiner","given":"Thorsten","non-dropping-particle":"","parse-names":false,"suffix":""},{"dropping-particle":"","family":"Davis","given":"Stephen M.","non-dropping-particle":"","parse-names":false,"suffix":""}],"container-title":"Stroke","id":"ITEM-1","issue":"4","issued":{"date-parts":[["2009"]]},"page":"1325-1331","title":"Density and shape as CT predictors of intracerebral hemorrhage growth","type":"article-journal","volume":"40"},"uris":["http://www.mendeley.com/documents/?uuid=8c77d5c1-4c1c-4ba6-8c88-bb0134498ac2"]},{"id":"ITEM-2","itemData":{"DOI":"10.1212/WNL.0000000000004210","ISSN":"1526-632X","PMID":"28701501","abstract":"OBJECTIVE To validate various noncontrast CT (NCCT) predictors of hematoma expansion in a large international cohort of ICH patients and investigate whether intensive blood pressure (BP) treatment reduces ICH growth and improves outcome in patients with these markers. METHODS We analyzed patients enrolled in the Antihypertensive Treatment of Acute Cerebral Hemorrhage II (ATACH-II) randomized controlled trial. Participants were assigned to intensive (systolic BP &lt;140 mm Hg) vs standard (systolic BP &lt;180 mm Hg) treatment within 4.5 hours from onset. The following NCCT markers were identified: intrahematoma hypodensities, black hole sign, swirl sign, blend sign, heterogeneous hematoma density, and irregular shape. ICH expansion was defined as hematoma growth &gt;33% and unfavorable outcome was defined as modified Rankin Scale score &gt;3 at 90 days. Logistic regression was used to identify predictors of ICH expansion and explore the association between NCCT signs and clinical benefit from intensive BP treatment. RESULTS A total of 989 patients were included (mean age 62 years, 61.9% male), of whom 186/869 experienced hematoma expansion (21.4%) and 361/952 (37.9%) had unfavorable outcome. NCCT markers independently predicted ICH expansion (all p &lt; 0.01) with overall accuracy ranging from 61% to 78% and good interrater reliability (k &gt; 0.6 for all markers). There was no evidence of an interaction between NCCT markers and benefit from intensive BP reduction (all p for interaction &gt;0.10). CONCLUSIONS NCCT signs reliably identify ICH patients at high risk of hematoma growth. However, we found no evidence that patients with these markers specifically benefit from intensive BP reduction. CLINICALTRIALSGOV IDENTIFIER NCT01176565.","author":[{"dropping-particle":"","family":"Morotti","given":"Andrea","non-dropping-particle":"","parse-names":false,"suffix":""},{"dropping-particle":"","family":"Boulouis","given":"Gregoire","non-dropping-particle":"","parse-names":false,"suffix":""},{"dropping-particle":"","family":"Romero","given":"Javier M","non-dropping-particle":"","parse-names":false,"suffix":""},{"dropping-particle":"","family":"Brouwers","given":"H Bart","non-dropping-particle":"","parse-names":false,"suffix":""},{"dropping-particle":"","family":"Jessel","given":"Michael J","non-dropping-particle":"","parse-names":false,"suffix":""},{"dropping-particle":"","family":"Vashkevich","given":"Anastasia","non-dropping-particle":"","parse-names":false,"suffix":""},{"dropping-particle":"","family":"Schwab","given":"Kristin","non-dropping-particle":"","parse-names":false,"suffix":""},{"dropping-particle":"","family":"Afzal","given":"Mohammad Rauf","non-dropping-particle":"","parse-names":false,"suffix":""},{"dropping-particle":"","family":"Cassarly","given":"Christy","non-dropping-particle":"","parse-names":false,"suffix":""},{"dropping-particle":"","family":"Greenberg","given":"Steven M","non-dropping-particle":"","parse-names":false,"suffix":""},{"dropping-particle":"","family":"Martin","given":"Reneé Hebert","non-dropping-particle":"","parse-names":false,"suffix":""},{"dropping-particle":"","family":"Qureshi","given":"Adnan I","non-dropping-particle":"","parse-names":false,"suffix":""},{"dropping-particle":"","family":"Rosand","given":"Jonathan","non-dropping-particle":"","parse-names":false,"suffix":""},{"dropping-particle":"","family":"Goldstein","given":"Joshua N","non-dropping-particle":"","parse-names":false,"suffix":""},{"dropping-particle":"","family":"ATACH-II and NETT investigators","given":"","non-dropping-particle":"","parse-names":false,"suffix":""}],"container-title":"Neurology","id":"ITEM-2","issue":"6","issued":{"date-parts":[["2017","8","8"]]},"page":"548-554","title":"Blood pressure reduction and noncontrast CT markers of intracerebral hemorrhage expansion.","type":"article-journal","volume":"89"},"uris":["http://www.mendeley.com/documents/?uuid=0318d940-0cb6-3723-9dcb-3581f4fc64c0"]}],"mendeley":{"formattedCitation":"&lt;sup&gt;22,49&lt;/sup&gt;","plainTextFormattedCitation":"22,49","previouslyFormattedCitation":"&lt;sup&gt;22,49&lt;/sup&gt;"},"properties":{"noteIndex":0},"schema":"https://github.com/citation-style-language/schema/raw/master/csl-citation.json"}</w:instrText>
      </w:r>
      <w:r w:rsidR="00863180" w:rsidRPr="006A1593">
        <w:rPr>
          <w:sz w:val="24"/>
          <w:szCs w:val="24"/>
          <w:lang w:val="en-US"/>
        </w:rPr>
        <w:fldChar w:fldCharType="separate"/>
      </w:r>
      <w:r w:rsidR="00BA1458" w:rsidRPr="006A1593">
        <w:rPr>
          <w:noProof/>
          <w:sz w:val="24"/>
          <w:szCs w:val="24"/>
          <w:vertAlign w:val="superscript"/>
          <w:lang w:val="en-US"/>
        </w:rPr>
        <w:t>22,49</w:t>
      </w:r>
      <w:r w:rsidR="00863180" w:rsidRPr="006A1593">
        <w:rPr>
          <w:sz w:val="24"/>
          <w:szCs w:val="24"/>
          <w:lang w:val="en-US"/>
        </w:rPr>
        <w:fldChar w:fldCharType="end"/>
      </w:r>
      <w:r w:rsidR="00863180" w:rsidRPr="006A1593">
        <w:rPr>
          <w:sz w:val="24"/>
          <w:szCs w:val="24"/>
          <w:lang w:val="en-US"/>
        </w:rPr>
        <w:t xml:space="preserve"> a relationship with clinical outcomes needs to be demonstrated. </w:t>
      </w:r>
      <w:r w:rsidR="00C73B4E" w:rsidRPr="006A1593">
        <w:rPr>
          <w:sz w:val="24"/>
          <w:szCs w:val="24"/>
          <w:lang w:val="en-US"/>
        </w:rPr>
        <w:t>S</w:t>
      </w:r>
      <w:r w:rsidR="00F33D93" w:rsidRPr="006A1593">
        <w:rPr>
          <w:sz w:val="24"/>
          <w:szCs w:val="24"/>
          <w:lang w:val="en-US"/>
        </w:rPr>
        <w:t xml:space="preserve">ome </w:t>
      </w:r>
      <w:r w:rsidR="00863180" w:rsidRPr="006A1593">
        <w:rPr>
          <w:sz w:val="24"/>
          <w:szCs w:val="24"/>
          <w:lang w:val="en-US"/>
        </w:rPr>
        <w:t xml:space="preserve">NCCT ICH features predictive of </w:t>
      </w:r>
      <w:r w:rsidR="00C73B4E" w:rsidRPr="006A1593">
        <w:rPr>
          <w:sz w:val="24"/>
          <w:szCs w:val="24"/>
          <w:lang w:val="en-US"/>
        </w:rPr>
        <w:t xml:space="preserve">mortality and </w:t>
      </w:r>
      <w:r w:rsidR="00863180" w:rsidRPr="006A1593">
        <w:rPr>
          <w:sz w:val="24"/>
          <w:szCs w:val="24"/>
          <w:lang w:val="en-US"/>
        </w:rPr>
        <w:t>poor</w:t>
      </w:r>
      <w:r w:rsidR="00C73B4E" w:rsidRPr="006A1593">
        <w:rPr>
          <w:sz w:val="24"/>
          <w:szCs w:val="24"/>
          <w:lang w:val="en-US"/>
        </w:rPr>
        <w:t xml:space="preserve"> functional</w:t>
      </w:r>
      <w:r w:rsidR="00863180" w:rsidRPr="006A1593">
        <w:rPr>
          <w:sz w:val="24"/>
          <w:szCs w:val="24"/>
          <w:lang w:val="en-US"/>
        </w:rPr>
        <w:t xml:space="preserve"> outcome have</w:t>
      </w:r>
      <w:r w:rsidR="00C73B4E" w:rsidRPr="006A1593">
        <w:rPr>
          <w:sz w:val="24"/>
          <w:szCs w:val="24"/>
          <w:lang w:val="en-US"/>
        </w:rPr>
        <w:t xml:space="preserve"> been described</w:t>
      </w:r>
      <w:r w:rsidR="00863180" w:rsidRPr="006A1593">
        <w:rPr>
          <w:sz w:val="24"/>
          <w:szCs w:val="24"/>
          <w:lang w:val="en-US"/>
        </w:rPr>
        <w:t xml:space="preserve"> in</w:t>
      </w:r>
      <w:r w:rsidR="00C73B4E" w:rsidRPr="006A1593">
        <w:rPr>
          <w:sz w:val="24"/>
          <w:szCs w:val="24"/>
          <w:lang w:val="en-US"/>
        </w:rPr>
        <w:t xml:space="preserve"> observational ICH cohorts and in</w:t>
      </w:r>
      <w:r w:rsidR="00863180" w:rsidRPr="006A1593">
        <w:rPr>
          <w:sz w:val="24"/>
          <w:szCs w:val="24"/>
          <w:lang w:val="en-US"/>
        </w:rPr>
        <w:t xml:space="preserve"> two large clinical trial populations (ATACH-II and INTERACT2).</w:t>
      </w:r>
      <w:r w:rsidR="00C73B4E" w:rsidRPr="006A1593">
        <w:rPr>
          <w:sz w:val="24"/>
          <w:szCs w:val="24"/>
          <w:lang w:val="en-US"/>
        </w:rPr>
        <w:t xml:space="preserve"> </w:t>
      </w:r>
      <w:r w:rsidR="00C73B4E" w:rsidRPr="006A1593">
        <w:rPr>
          <w:sz w:val="24"/>
          <w:szCs w:val="24"/>
          <w:lang w:val="en-US"/>
        </w:rPr>
        <w:fldChar w:fldCharType="begin" w:fldLock="1"/>
      </w:r>
      <w:r w:rsidR="00BA1458" w:rsidRPr="006A1593">
        <w:rPr>
          <w:sz w:val="24"/>
          <w:szCs w:val="24"/>
          <w:lang w:val="en-US"/>
        </w:rPr>
        <w:instrText>ADDIN CSL_CITATION {"citationItems":[{"id":"ITEM-1","itemData":{"DOI":"10.1161/STROKEAHA.116.014425","ISSN":"15244628","abstract":"© 2016 American Heart Association, Inc. Background and Purpose - Noncontrast computed tomographic (CT) hypodensities have been shown to be associated with hematoma expansion in intracerebral hemorrhage (ICH), but their impact on functional outcome is yet to be determined. We evaluated whether baseline noncontrast CT hypodensities are associated with poor clinical outcome. Methods - We performed a retrospective review of a prospectively collected cohort of consecutive patients with primary ICH presenting to a single academic medical center between 1994 and 2016. The presence of CT hypodensities was assessed by 2 independent raters on the baseline CT. Unfavorable outcome was defined as a modified Rankin score  &gt; 3 at 90 days. The associations between CT hypodensities and unfavorable outcome were investigated using uni- and multivariable logistic regression models. Results - During the study period, 1342 patients presented with ICH and 800 met restrictive inclusion criteria (baseline CT available for review, and 90-day outcome available). Three hundred and four (38%) patients showed hypodensities on CT, and 520 (65%) patients experienced unfavorable outcome. In univariate analysis, patients with unfavorable outcome were more likely to demonstrate hypodensities (48% versus 20%; P &lt; 0.0001). After adjustment for age, admission Glasgow coma scale, warfarin use, intraventricular hemorrhage, baseline ICH volume, and location, CT hypodensities were found to be independently associated with an increase in the odds of unfavorable outcome (odds ratio 1.70, 95% confidence interval [1.10-2.65]; P=0.018). Conclusions - The presence of noncontract CT hypodensities at baseline independently predicts poor outcome and comes as a useful and widely available addition to our ability to predict ICH patients' clinical evolution.","author":[{"dropping-particle":"","family":"Boulouis","given":"G.","non-dropping-particle":"","parse-names":false,"suffix":""},{"dropping-particle":"","family":"Morotti","given":"A.","non-dropping-particle":"","parse-names":false,"suffix":""},{"dropping-particle":"","family":"Brouwers","given":"H.B.","non-dropping-particle":"","parse-names":false,"suffix":""},{"dropping-particle":"","family":"Charidimou","given":"A.","non-dropping-particle":"","parse-names":false,"suffix":""},{"dropping-particle":"","family":"Jessel","given":"M.J.","non-dropping-particle":"","parse-names":false,"suffix":""},{"dropping-particle":"","family":"Auriel","given":"E.","non-dropping-particle":"","parse-names":false,"suffix":""},{"dropping-particle":"","family":"Pontes-Neto","given":"O.","non-dropping-particle":"","parse-names":false,"suffix":""},{"dropping-particle":"","family":"Ayres","given":"A.","non-dropping-particle":"","parse-names":false,"suffix":""},{"dropping-particle":"","family":"Vashkevich","given":"A.","non-dropping-particle":"","parse-names":false,"suffix":""},{"dropping-particle":"","family":"Schwab","given":"K.M.","non-dropping-particle":"","parse-names":false,"suffix":""},{"dropping-particle":"","family":"Rosand","given":"J.","non-dropping-particle":"","parse-names":false,"suffix":""},{"dropping-particle":"","family":"Viswanathan","given":"A.","non-dropping-particle":"","parse-names":false,"suffix":""},{"dropping-particle":"","family":"Gurol","given":"M.E.","non-dropping-particle":"","parse-names":false,"suffix":""},{"dropping-particle":"","family":"Greenberg","given":"S.M.","non-dropping-particle":"","parse-names":false,"suffix":""},{"dropping-particle":"","family":"Goldstein","given":"J.N.","non-dropping-particle":"","parse-names":false,"suffix":""}],"container-title":"Stroke","id":"ITEM-1","issue":"10","issued":{"date-parts":[["2016"]]},"title":"Noncontrast Computed Tomography Hypodensities Predict Poor Outcome in Intracerebral Hemorrhage Patients","type":"article-journal","volume":"47"},"uris":["http://www.mendeley.com/documents/?uuid=d3886099-d926-3458-96fe-c76145abe99b"]},{"id":"ITEM-2","itemData":{"DOI":"10.1212/WNL.0000000000004210","ISSN":"1526-632X","PMID":"28701501","abstract":"OBJECTIVE To validate various noncontrast CT (NCCT) predictors of hematoma expansion in a large international cohort of ICH patients and investigate whether intensive blood pressure (BP) treatment reduces ICH growth and improves outcome in patients with these markers. METHODS We analyzed patients enrolled in the Antihypertensive Treatment of Acute Cerebral Hemorrhage II (ATACH-II) randomized controlled trial. Participants were assigned to intensive (systolic BP &lt;140 mm Hg) vs standard (systolic BP &lt;180 mm Hg) treatment within 4.5 hours from onset. The following NCCT markers were identified: intrahematoma hypodensities, black hole sign, swirl sign, blend sign, heterogeneous hematoma density, and irregular shape. ICH expansion was defined as hematoma growth &gt;33% and unfavorable outcome was defined as modified Rankin Scale score &gt;3 at 90 days. Logistic regression was used to identify predictors of ICH expansion and explore the association between NCCT signs and clinical benefit from intensive BP treatment. RESULTS A total of 989 patients were included (mean age 62 years, 61.9% male), of whom 186/869 experienced hematoma expansion (21.4%) and 361/952 (37.9%) had unfavorable outcome. NCCT markers independently predicted ICH expansion (all p &lt; 0.01) with overall accuracy ranging from 61% to 78% and good interrater reliability (k &gt; 0.6 for all markers). There was no evidence of an interaction between NCCT markers and benefit from intensive BP reduction (all p for interaction &gt;0.10). CONCLUSIONS NCCT signs reliably identify ICH patients at high risk of hematoma growth. However, we found no evidence that patients with these markers specifically benefit from intensive BP reduction. CLINICALTRIALSGOV IDENTIFIER NCT01176565.","author":[{"dropping-particle":"","family":"Morotti","given":"Andrea","non-dropping-particle":"","parse-names":false,"suffix":""},{"dropping-particle":"","family":"Boulouis","given":"Gregoire","non-dropping-particle":"","parse-names":false,"suffix":""},{"dropping-particle":"","family":"Romero","given":"Javier M","non-dropping-particle":"","parse-names":false,"suffix":""},{"dropping-particle":"","family":"Brouwers","given":"H Bart","non-dropping-particle":"","parse-names":false,"suffix":""},{"dropping-particle":"","family":"Jessel","given":"Michael J","non-dropping-particle":"","parse-names":false,"suffix":""},{"dropping-particle":"","family":"Vashkevich","given":"Anastasia","non-dropping-particle":"","parse-names":false,"suffix":""},{"dropping-particle":"","family":"Schwab","given":"Kristin","non-dropping-particle":"","parse-names":false,"suffix":""},{"dropping-particle":"","family":"Afzal","given":"Mohammad Rauf","non-dropping-particle":"","parse-names":false,"suffix":""},{"dropping-particle":"","family":"Cassarly","given":"Christy","non-dropping-particle":"","parse-names":false,"suffix":""},{"dropping-particle":"","family":"Greenberg","given":"Steven M","non-dropping-particle":"","parse-names":false,"suffix":""},{"dropping-particle":"","family":"Martin","given":"Reneé Hebert","non-dropping-particle":"","parse-names":false,"suffix":""},{"dropping-particle":"","family":"Qureshi","given":"Adnan I","non-dropping-particle":"","parse-names":false,"suffix":""},{"dropping-particle":"","family":"Rosand","given":"Jonathan","non-dropping-particle":"","parse-names":false,"suffix":""},{"dropping-particle":"","family":"Goldstein","given":"Joshua N","non-dropping-particle":"","parse-names":false,"suffix":""},{"dropping-particle":"","family":"ATACH-II and NETT investigators","given":"","non-dropping-particle":"","parse-names":false,"suffix":""}],"container-title":"Neurology","id":"ITEM-2","issue":"6","issued":{"date-parts":[["2017","8","8"]]},"page":"548-554","title":"Blood pressure reduction and noncontrast CT markers of intracerebral hemorrhage expansion.","type":"article-journal","volume":"89"},"uris":["http://www.mendeley.com/documents/?uuid=0318d940-0cb6-3723-9dcb-3581f4fc64c0"]},{"id":"ITEM-3","itemData":{"DOI":"10.1161/STROKEAHA.116.012921","ISSN":"0039-2499, 1524-4628","PMID":"27073236","abstract":"Background and Purpose—In patients with acute intracerebral hemorrhage (ICH), the shape and density of the hematoma are associated with its subsequent growth, but the impact of these parameters on clinical outcome is uncertain.\nMethods—Baseline computed tomographic scans and clinical data were obtained in the Intensive Blood Pressure Reduction in Acute Intracerebral Hemorrhage Trial (INTERACT2). Thr</w:instrText>
      </w:r>
      <w:r w:rsidR="00BA1458" w:rsidRPr="006A1593">
        <w:rPr>
          <w:rFonts w:hint="eastAsia"/>
          <w:sz w:val="24"/>
          <w:szCs w:val="24"/>
          <w:lang w:val="en-US"/>
        </w:rPr>
        <w:instrText xml:space="preserve">ee independent neurologists blind to clinical data assessed ICH for shape and density using a previously described scale. Shape was defined as irregular when the ICH had </w:instrText>
      </w:r>
      <w:r w:rsidR="00BA1458" w:rsidRPr="006A1593">
        <w:rPr>
          <w:rFonts w:hint="eastAsia"/>
          <w:sz w:val="24"/>
          <w:szCs w:val="24"/>
          <w:lang w:val="en-US"/>
        </w:rPr>
        <w:instrText>≥</w:instrText>
      </w:r>
      <w:r w:rsidR="00BA1458" w:rsidRPr="006A1593">
        <w:rPr>
          <w:rFonts w:hint="eastAsia"/>
          <w:sz w:val="24"/>
          <w:szCs w:val="24"/>
          <w:lang w:val="en-US"/>
        </w:rPr>
        <w:instrText xml:space="preserve">2 extra lesions added to the ellipsoid-shaped ICH. Density was heterogeneous when there were </w:instrText>
      </w:r>
      <w:r w:rsidR="00BA1458" w:rsidRPr="006A1593">
        <w:rPr>
          <w:rFonts w:hint="eastAsia"/>
          <w:sz w:val="24"/>
          <w:szCs w:val="24"/>
          <w:lang w:val="en-US"/>
        </w:rPr>
        <w:instrText>≥</w:instrText>
      </w:r>
      <w:r w:rsidR="00BA1458" w:rsidRPr="006A1593">
        <w:rPr>
          <w:rFonts w:hint="eastAsia"/>
          <w:sz w:val="24"/>
          <w:szCs w:val="24"/>
          <w:lang w:val="en-US"/>
        </w:rPr>
        <w:instrText>3 low-density lesions within the ICH. Outcome measures were death and major disability (modified Rankin scale score of 3</w:instrText>
      </w:r>
      <w:r w:rsidR="00BA1458" w:rsidRPr="006A1593">
        <w:rPr>
          <w:rFonts w:hint="eastAsia"/>
          <w:sz w:val="24"/>
          <w:szCs w:val="24"/>
          <w:lang w:val="en-US"/>
        </w:rPr>
        <w:instrText>–</w:instrText>
      </w:r>
      <w:r w:rsidR="00BA1458" w:rsidRPr="006A1593">
        <w:rPr>
          <w:rFonts w:hint="eastAsia"/>
          <w:sz w:val="24"/>
          <w:szCs w:val="24"/>
          <w:lang w:val="en-US"/>
        </w:rPr>
        <w:instrText>5), combined and separate at 90-day postrandomization. Multivariable logistic regression models were used to determine the s</w:instrText>
      </w:r>
      <w:r w:rsidR="00BA1458" w:rsidRPr="006A1593">
        <w:rPr>
          <w:sz w:val="24"/>
          <w:szCs w:val="24"/>
          <w:lang w:val="en-US"/>
        </w:rPr>
        <w:instrText>ignificance of hematoma characteristics on outcome.\nResults—There were 2066 patient computed tomographic scans included in the analysis, with 46% and 38% having irregular and heterogeneous ICH, respectively. Irregular shape was independently associated with death/major disability (adjusted odds ratio, 1.60; 95% confidence interval [CI], 1.29–1.98) and major disability alone (adjusted odds ratio, 1.60; 95% CI, 1.31–1.95), but not with death alone (adjusted odds ratio, 0.97; 95% CI, 0.68–1.39). Heterogeneous density was not associated with clinical outcomes (adjusted odds ratio, 1.06; 95% CI, 0.85–1.33), 1.04 (95% CI, 0.73–1.48), and 1.14 (95% CI, 0.93–1.39), respectively, for death/major disability, death alone, and disability alone).\nConclusions—Irregular shape, but not heterogeneous density, is independently associated with poor outcome after ICH.\nClinical Trial Registration—URL: http://www.clinicaltrials.gov. Unique identifier: NCT00716079.","author":[{"dropping-particle":"","family":"Delcourt","given":"Candice","non-dropping-particle":"","parse-names":false,"suffix":""},{"dropping-particle":"","family":"Zhang","given":"Shihong","non-dropping-particle":"","parse-names":false,"suffix":""},{"dropping-particle":"","family":"Arima","given":"Hisatomi","non-dropping-particle":"","parse-names":false,"suffix":""},{"dropping-particle":"","family":"Sato","given":"Shoichiro","non-dropping-particle":"","parse-names":false,"suffix":""},{"dropping-particle":"","family":"Salman","given":"Rustam Al-Shahi","non-dropping-particle":"","parse-names":false,"suffix":""},{"dropping-particle":"","family":"Wang","given":"Xia","non-dropping-particle":"","parse-names":false,"suffix":""},{"dropping-particle":"","family":"Davies","given":"Leo","non-dropping-particle":"","parse-names":false,"suffix":""},{"dropping-particle":"","family":"Stapf","given":"Christian","non-dropping-particle":"","parse-names":false,"suffix":""},{"dropping-particle":"","family":"Robinson","given":"Thompson","non-dropping-particle":"","parse-names":false,"suffix":""},{"dropping-particle":"","family":"Lavados","given":"Pablo M.","non-dropping-particle":"","parse-names":false,"suffix":""},{"dropping-particle":"","family":"Chalmers","given":"John","non-dropping-particle":"","parse-names":false,"suffix":""},{"dropping-particle":"","family":"Heeley","given":"Emma","non-dropping-particle":"","parse-names":false,"suffix":""},{"dropping-particle":"","family":"Liu","given":"Ming","non-dropping-particle":"","parse-names":false,"suffix":""},{"dropping-particle":"","family":"Lindley","given":"Richard I.","non-dropping-particle":"","parse-names":false,"suffix":""},{"dropping-particle":"","family":"Anderson","given":"Craig S.","non-dropping-particle":"","parse-names":false,"suffix":""},{"dropping-particle":"","family":"Investigators","given":"for the INTERACT2","non-dropping-particle":"","parse-names":false,"suffix":""}],"container-title":"Stroke","id":"ITEM-3","issue":"5","issued":{"date-parts":[["2016","5"]]},"language":"en","page":"1227-1232","title":"Significance of Hematoma Shape and Density in Intracerebral Hemorrhage The Intensive Blood Pressure Reduction in Acute Intracerebral Hemorrhage Trial Study","type":"article-journal","volume":"47"},"uris":["http://www.mendeley.com/documents/?uuid=65a3c181-91e4-4608-8376-20655f25de6f"]}],"mendeley":{"formattedCitation":"&lt;sup&gt;26,49,51&lt;/sup&gt;","plainTextFormattedCitation":"26,49,51","previouslyFormattedCitation":"&lt;sup&gt;26,49,51&lt;/sup&gt;"},"properties":{"noteIndex":0},"schema":"https://github.com/citation-style-language/schema/raw/master/csl-citation.json"}</w:instrText>
      </w:r>
      <w:r w:rsidR="00C73B4E" w:rsidRPr="006A1593">
        <w:rPr>
          <w:sz w:val="24"/>
          <w:szCs w:val="24"/>
          <w:lang w:val="en-US"/>
        </w:rPr>
        <w:fldChar w:fldCharType="separate"/>
      </w:r>
      <w:r w:rsidR="00BA1458" w:rsidRPr="006A1593">
        <w:rPr>
          <w:noProof/>
          <w:sz w:val="24"/>
          <w:szCs w:val="24"/>
          <w:vertAlign w:val="superscript"/>
          <w:lang w:val="en-US"/>
        </w:rPr>
        <w:t>26,49,51</w:t>
      </w:r>
      <w:r w:rsidR="00C73B4E" w:rsidRPr="006A1593">
        <w:rPr>
          <w:sz w:val="24"/>
          <w:szCs w:val="24"/>
          <w:lang w:val="en-US"/>
        </w:rPr>
        <w:fldChar w:fldCharType="end"/>
      </w:r>
      <w:r w:rsidR="00863180" w:rsidRPr="006A1593">
        <w:rPr>
          <w:sz w:val="24"/>
          <w:szCs w:val="24"/>
          <w:lang w:val="en-US"/>
        </w:rPr>
        <w:t xml:space="preserve"> The emerging picture is therefore </w:t>
      </w:r>
      <w:r w:rsidR="00C73B4E" w:rsidRPr="006A1593">
        <w:rPr>
          <w:sz w:val="24"/>
          <w:szCs w:val="24"/>
          <w:lang w:val="en-US"/>
        </w:rPr>
        <w:t>that</w:t>
      </w:r>
      <w:r w:rsidR="00863180" w:rsidRPr="006A1593">
        <w:rPr>
          <w:sz w:val="24"/>
          <w:szCs w:val="24"/>
          <w:lang w:val="en-US"/>
        </w:rPr>
        <w:t xml:space="preserve"> NCCT </w:t>
      </w:r>
      <w:r w:rsidR="00863180" w:rsidRPr="006A1593">
        <w:rPr>
          <w:sz w:val="24"/>
          <w:szCs w:val="24"/>
          <w:lang w:val="en-US"/>
        </w:rPr>
        <w:lastRenderedPageBreak/>
        <w:t xml:space="preserve">markers might be reliable predictors of HE and poor outcome in ICH, but with different effect size and strength of association. </w:t>
      </w:r>
    </w:p>
    <w:p w:rsidR="00863180" w:rsidRPr="006A1593" w:rsidRDefault="00863180" w:rsidP="00863180">
      <w:pPr>
        <w:rPr>
          <w:sz w:val="24"/>
          <w:szCs w:val="24"/>
          <w:lang w:val="en-US"/>
        </w:rPr>
      </w:pPr>
      <w:r w:rsidRPr="006A1593">
        <w:rPr>
          <w:sz w:val="24"/>
          <w:szCs w:val="24"/>
          <w:lang w:val="en-US"/>
        </w:rPr>
        <w:t xml:space="preserve">Some limitations should be considered when interpreting the currently available evidence. </w:t>
      </w:r>
      <w:r w:rsidR="00C660EA" w:rsidRPr="006A1593">
        <w:rPr>
          <w:sz w:val="24"/>
          <w:szCs w:val="24"/>
          <w:lang w:val="en-US"/>
        </w:rPr>
        <w:t xml:space="preserve">First, most of the </w:t>
      </w:r>
      <w:r w:rsidR="00D8460B" w:rsidRPr="006A1593">
        <w:rPr>
          <w:sz w:val="24"/>
          <w:szCs w:val="24"/>
          <w:lang w:val="en-US"/>
        </w:rPr>
        <w:t>NCCT markers have been reported</w:t>
      </w:r>
      <w:r w:rsidR="00C660EA" w:rsidRPr="006A1593">
        <w:rPr>
          <w:sz w:val="24"/>
          <w:szCs w:val="24"/>
          <w:lang w:val="en-US"/>
        </w:rPr>
        <w:t xml:space="preserve"> in single center cohorts with relatively small sample size. Second, different definitions of HE and poor prognosis have been used. Third, some studies excluded patients with ICH occurring during oral anticoagulant treatment and restricted the study population to subjects receiving a NCCT within </w:t>
      </w:r>
      <w:r w:rsidRPr="006A1593">
        <w:rPr>
          <w:sz w:val="24"/>
          <w:szCs w:val="24"/>
          <w:lang w:val="en-US"/>
        </w:rPr>
        <w:t>6 hours from onset. Fourth, several</w:t>
      </w:r>
      <w:r w:rsidR="00C660EA" w:rsidRPr="006A1593">
        <w:rPr>
          <w:sz w:val="24"/>
          <w:szCs w:val="24"/>
          <w:lang w:val="en-US"/>
        </w:rPr>
        <w:t xml:space="preserve"> NCCT signs lack prospective validation and assessment of their inter and intra-rater reliability.</w:t>
      </w:r>
      <w:r w:rsidR="00D8460B" w:rsidRPr="006A1593">
        <w:rPr>
          <w:sz w:val="24"/>
          <w:szCs w:val="24"/>
          <w:lang w:val="en-US"/>
        </w:rPr>
        <w:t xml:space="preserve"> Fifth, few studies compared the diagnostic performance of NCCT </w:t>
      </w:r>
      <w:proofErr w:type="gramStart"/>
      <w:r w:rsidR="00D8460B" w:rsidRPr="006A1593">
        <w:rPr>
          <w:sz w:val="24"/>
          <w:szCs w:val="24"/>
          <w:lang w:val="en-US"/>
        </w:rPr>
        <w:t>markers</w:t>
      </w:r>
      <w:proofErr w:type="gramEnd"/>
      <w:r w:rsidR="00D8460B" w:rsidRPr="006A1593">
        <w:rPr>
          <w:sz w:val="24"/>
          <w:szCs w:val="24"/>
          <w:lang w:val="en-US"/>
        </w:rPr>
        <w:t xml:space="preserve"> and it remains difficult to appreciate the added value of every newly described sign.</w:t>
      </w:r>
      <w:r w:rsidRPr="006A1593">
        <w:rPr>
          <w:sz w:val="24"/>
          <w:szCs w:val="24"/>
          <w:lang w:val="en-US"/>
        </w:rPr>
        <w:t xml:space="preserve"> Finally, it remains to be determined whether NCCT markers provide additional diagnostic value compared to the currently available models to predict HE and unfavorable outcome.</w:t>
      </w:r>
      <w:r w:rsidRPr="006A1593">
        <w:rPr>
          <w:sz w:val="24"/>
          <w:szCs w:val="24"/>
          <w:lang w:val="en-US"/>
        </w:rPr>
        <w:fldChar w:fldCharType="begin" w:fldLock="1"/>
      </w:r>
      <w:r w:rsidR="00BA1458" w:rsidRPr="006A1593">
        <w:rPr>
          <w:sz w:val="24"/>
          <w:szCs w:val="24"/>
          <w:lang w:val="en-US"/>
        </w:rPr>
        <w:instrText>ADDIN CSL_CITATION {"citationItems":[{"id":"ITEM-1","itemData":{"ISSN":"1524-4628","PMID":"11283388","abstract":"BACKGROUND AND PURPOSE: Intracerebral hemorrhage (ICH) constitutes 10% to 15% of all strokes and remains without a treatment of proven benefit. Despite several existing outcome prediction models for ICH, there is no standard clinical grading scale for ICH analogous to those for traumatic brain injury, subarachnoid hemorrhage, or ischemic stroke.\n\nMETHODS: Records of all patients with acute ICH presenting to the University of California, San Francisco during 1997-1998 were reviewed. Independent predictors of 30-day mortality were identified by logistic regression. A risk stratification scale (the ICH Score) was developed with weighting of independent predictors based on strength of association.\n\nRESULTS: Factors independently associated with 30-day mortality were Glasgow Coma Scale score (P&lt;0.001), age &gt;/=80 years (P=0.001), infratentorial origin of ICH (P=0.03), ICH volume (P=0.047), and presence of intraventricular hemorrhage (P=0.052). The ICH Score was the sum of individual points assigned as follows: GCS score 3 to 4 (=2 points), 5 to 12 (=1), 13 to 15 (=0); age &gt;/=80 years yes (=1), no (=0); infratentorial origin yes (=1), no (=0); ICH volume &gt;/=30 cm(3) (=1), &lt;30 cm(3) (=0); and intraventricular hemorrhage yes (=1), no (=0). All 26 patients with an ICH Score of 0 survived, and all 6 patients with an ICH Score of 5 died. Thirty-day mortality increased steadily with ICH Score (P&lt;0.005).\n\nCONCLUSIONS: The ICH Score is a simple clinical grading scale that allows risk stratification on presentation with ICH. The use of a scale such as the ICH Score could improve standardization of clinical treatment protocols and clinical research studies in ICH.","author":[{"dropping-particle":"","family":"Hemphill","given":"J C","non-dropping-particle":"","parse-names":false,"suffix":""},{"dropping-particle":"","family":"Bonovich","given":"D C","non-dropping-particle":"","parse-names":false,"suffix":""},{"dropping-particle":"","family":"Besmertis","given":"L","non-dropping-particle":"","parse-names":false,"suffix":""},{"dropping-particle":"","family":"Manley","given":"G T","non-dropping-particle":"","parse-names":false,"suffix":""},{"dropping-particle":"","family":"Johnston","given":"S C","non-dropping-particle":"","parse-names":false,"suffix":""}],"container-title":"Stroke; a journal of cerebral circulation","id":"ITEM-1","issue":"4","issued":{"date-parts":[["2001","4"]]},"page":"891-7","title":"The ICH score: a simple, reliable grading scale for intracerebral hemorrhage.","type":"article-journal","volume":"32"},"uris":["http://www.mendeley.com/documents/?uuid=53caecd6-493a-4339-996f-bece745e90cd"]},{"id":"ITEM-2","itemData":{"DOI":"10.1161/STROKEAHA.107.512202","ISBN":"1524-4628 (Electronic)\r0039-2499 (Linking)","ISSN":"00392499","PMID":"18556582","abstract":"Background and Purpose— Intracerebral hemorrhage (ICH) is the most fatal and disabling stroke subtype. Widely used tools for prediction of mortality are fundamentally limited in that they do not account for effects of withdrawal of care and are not designed to predict functional recovery. We developed an acute clinical score to predict likelihood of functional independence.\\nMethods— We prospe</w:instrText>
      </w:r>
      <w:r w:rsidR="00BA1458" w:rsidRPr="006A1593">
        <w:rPr>
          <w:rFonts w:hint="eastAsia"/>
          <w:sz w:val="24"/>
          <w:szCs w:val="24"/>
          <w:lang w:val="en-US"/>
        </w:rPr>
        <w:instrText xml:space="preserve">ctively characterized 629 consecutive patients with ICH at hospital presentation. Predictors of functional independence (Glasgow Outcome Score </w:instrText>
      </w:r>
      <w:r w:rsidR="00BA1458" w:rsidRPr="006A1593">
        <w:rPr>
          <w:rFonts w:hint="eastAsia"/>
          <w:sz w:val="24"/>
          <w:szCs w:val="24"/>
          <w:lang w:val="en-US"/>
        </w:rPr>
        <w:instrText>≥</w:instrText>
      </w:r>
      <w:r w:rsidR="00BA1458" w:rsidRPr="006A1593">
        <w:rPr>
          <w:rFonts w:hint="eastAsia"/>
          <w:sz w:val="24"/>
          <w:szCs w:val="24"/>
          <w:lang w:val="en-US"/>
        </w:rPr>
        <w:instrText xml:space="preserve">4) at 90 days were used to develop a logistic regression-based risk stratification scale in a random subset of </w:instrText>
      </w:r>
      <w:r w:rsidR="00BA1458" w:rsidRPr="006A1593">
        <w:rPr>
          <w:sz w:val="24"/>
          <w:szCs w:val="24"/>
          <w:lang w:val="en-US"/>
        </w:rPr>
        <w:instrText>two thirds and validated in the remaining one third of the cohort.\\nResults— At 90 days, 162 (26%) patients achieved independence. Age, Glasgow Coma Scale, ICH location, volume (all P&lt;0.0001), and pre-ICH cognitive impairment (P=0.005) were independently</w:instrText>
      </w:r>
      <w:r w:rsidR="00BA1458" w:rsidRPr="006A1593">
        <w:rPr>
          <w:rFonts w:hint="eastAsia"/>
          <w:sz w:val="24"/>
          <w:szCs w:val="24"/>
          <w:lang w:val="en-US"/>
        </w:rPr>
        <w:instrText xml:space="preserve"> associated with Glasgow Outcome Score </w:instrText>
      </w:r>
      <w:r w:rsidR="00BA1458" w:rsidRPr="006A1593">
        <w:rPr>
          <w:rFonts w:hint="eastAsia"/>
          <w:sz w:val="24"/>
          <w:szCs w:val="24"/>
          <w:lang w:val="en-US"/>
        </w:rPr>
        <w:instrText>≥</w:instrText>
      </w:r>
      <w:r w:rsidR="00BA1458" w:rsidRPr="006A1593">
        <w:rPr>
          <w:rFonts w:hint="eastAsia"/>
          <w:sz w:val="24"/>
          <w:szCs w:val="24"/>
          <w:lang w:val="en-US"/>
        </w:rPr>
        <w:instrText>4. The FUNC score was developed as a sum of individual points (0</w:instrText>
      </w:r>
      <w:r w:rsidR="00BA1458" w:rsidRPr="006A1593">
        <w:rPr>
          <w:rFonts w:hint="eastAsia"/>
          <w:sz w:val="24"/>
          <w:szCs w:val="24"/>
          <w:lang w:val="en-US"/>
        </w:rPr>
        <w:instrText>–</w:instrText>
      </w:r>
      <w:r w:rsidR="00BA1458" w:rsidRPr="006A1593">
        <w:rPr>
          <w:rFonts w:hint="eastAsia"/>
          <w:sz w:val="24"/>
          <w:szCs w:val="24"/>
          <w:lang w:val="en-US"/>
        </w:rPr>
        <w:instrText xml:space="preserve">11) based on strength of association with outcome. In both the development and validation cohorts, the proportion of patients who achieved Glasgow Outcome Score </w:instrText>
      </w:r>
      <w:r w:rsidR="00BA1458" w:rsidRPr="006A1593">
        <w:rPr>
          <w:rFonts w:hint="eastAsia"/>
          <w:sz w:val="24"/>
          <w:szCs w:val="24"/>
          <w:lang w:val="en-US"/>
        </w:rPr>
        <w:instrText>≥</w:instrText>
      </w:r>
      <w:r w:rsidR="00BA1458" w:rsidRPr="006A1593">
        <w:rPr>
          <w:rFonts w:hint="eastAsia"/>
          <w:sz w:val="24"/>
          <w:szCs w:val="24"/>
          <w:lang w:val="en-US"/>
        </w:rPr>
        <w:instrText xml:space="preserve">4 increased steadily with FUNC score. No patient assigned a FUNC score </w:instrText>
      </w:r>
      <w:r w:rsidR="00BA1458" w:rsidRPr="006A1593">
        <w:rPr>
          <w:rFonts w:hint="eastAsia"/>
          <w:sz w:val="24"/>
          <w:szCs w:val="24"/>
          <w:lang w:val="en-US"/>
        </w:rPr>
        <w:instrText>≤</w:instrText>
      </w:r>
      <w:r w:rsidR="00BA1458" w:rsidRPr="006A1593">
        <w:rPr>
          <w:rFonts w:hint="eastAsia"/>
          <w:sz w:val="24"/>
          <w:szCs w:val="24"/>
          <w:lang w:val="en-US"/>
        </w:rPr>
        <w:instrText>4 achieved functional independence, whereas &gt;80% with a score of 11 did. The predictive accuracy of the FUNC score remained unchanged when restricted to ICH survivors only</w:instrText>
      </w:r>
      <w:r w:rsidR="00BA1458" w:rsidRPr="006A1593">
        <w:rPr>
          <w:sz w:val="24"/>
          <w:szCs w:val="24"/>
          <w:lang w:val="en-US"/>
        </w:rPr>
        <w:instrText>, consistent with absence of confounding by early withdrawal of care.\\nConclusions— FUNC score is a valid clinical assessment tool that identifies patients with ICH who will attain functional independence and thus, can provide guidance in clinical decision-making and patient selection for clinical trials.","author":[{"dropping-particle":"","family":"Rost","given":"Natalia S.","non-dropping-particle":"","parse-names":false,"suffix":""},{"dropping-particle":"","family":"Smith","given":"Eric E.","non-dropping-particle":"","parse-names":false,"suffix":""},{"dropping-particle":"","family":"Chang","given":"Yuchiao","non-dropping-particle":"","parse-names":false,"suffix":""},{"dropping-particle":"","family":"Snider","given":"Ryan W.","non-dropping-particle":"","parse-names":false,"suffix":""},{"dropping-particle":"","family":"Chanderraj","given":"Rishi","non-dropping-particle":"","parse-names":false,"suffix":""},{"dropping-particle":"","family":"Schwab","given":"Kristin","non-dropping-particle":"","parse-names":false,"suffix":""},{"dropping-particle":"","family":"Fitzmaurice","given":"Emily","non-dropping-particle":"","parse-names":false,"suffix":""},{"dropping-particle":"","family":"Wendell","given":"Lauren","non-dropping-particle":"","parse-names":false,"suffix":""},{"dropping-particle":"","family":"Goldstein","given":"Joshua N.","non-dropping-particle":"","parse-names":false,"suffix":""},{"dropping-particle":"","family":"Greenberg","given":"Steven M.","non-dropping-particle":"","parse-names":false,"suffix":""},{"dropping-particle":"","family":"Rosand","given":"Jonathan","non-dropping-particle":"","parse-names":false,"suffix":""}],"container-title":"Stroke","id":"ITEM-2","issue":"8","issued":{"date-parts":[["2008"]]},"page":"2304-2309","title":"Prediction of functional outcome in patients with primary intracerebral hemorrhage: The FUNC score","type":"article-journal","volume":"39"},"uris":["http://www.mendeley.com/documents/?uuid=a6b86931-61a4-4ba4-a880-2ad5efbd09e8"]}],"mendeley":{"formattedCitation":"&lt;sup&gt;52,53&lt;/sup&gt;","plainTextFormattedCitation":"52,53","previouslyFormattedCitation":"&lt;sup&gt;52,53&lt;/sup&gt;"},"properties":{"noteIndex":0},"schema":"https://github.com/citation-style-language/schema/raw/master/csl-citation.json"}</w:instrText>
      </w:r>
      <w:r w:rsidRPr="006A1593">
        <w:rPr>
          <w:sz w:val="24"/>
          <w:szCs w:val="24"/>
          <w:lang w:val="en-US"/>
        </w:rPr>
        <w:fldChar w:fldCharType="separate"/>
      </w:r>
      <w:r w:rsidR="00BA1458" w:rsidRPr="006A1593">
        <w:rPr>
          <w:noProof/>
          <w:sz w:val="24"/>
          <w:szCs w:val="24"/>
          <w:vertAlign w:val="superscript"/>
          <w:lang w:val="en-US"/>
        </w:rPr>
        <w:t>52,53</w:t>
      </w:r>
      <w:r w:rsidRPr="006A1593">
        <w:rPr>
          <w:sz w:val="24"/>
          <w:szCs w:val="24"/>
          <w:lang w:val="en-US"/>
        </w:rPr>
        <w:fldChar w:fldCharType="end"/>
      </w:r>
      <w:r w:rsidRPr="006A1593">
        <w:rPr>
          <w:sz w:val="24"/>
          <w:szCs w:val="24"/>
          <w:lang w:val="en-US"/>
        </w:rPr>
        <w:t xml:space="preserve"> </w:t>
      </w:r>
    </w:p>
    <w:p w:rsidR="00460669" w:rsidRPr="006A1593" w:rsidRDefault="00460669">
      <w:pPr>
        <w:pStyle w:val="Heading2"/>
        <w:rPr>
          <w:rFonts w:ascii="Times New Roman" w:hAnsi="Times New Roman"/>
          <w:sz w:val="24"/>
          <w:szCs w:val="24"/>
          <w:u w:val="none"/>
          <w:lang w:val="en-US"/>
        </w:rPr>
      </w:pPr>
      <w:r w:rsidRPr="006A1593">
        <w:rPr>
          <w:rFonts w:ascii="Times New Roman" w:hAnsi="Times New Roman"/>
          <w:sz w:val="24"/>
          <w:szCs w:val="24"/>
          <w:u w:val="none"/>
          <w:lang w:val="en-US"/>
        </w:rPr>
        <w:t>Relationship with the CT angiography Spot Sign</w:t>
      </w:r>
    </w:p>
    <w:p w:rsidR="000F1C6B" w:rsidRPr="006A1593" w:rsidRDefault="00460669">
      <w:pPr>
        <w:rPr>
          <w:sz w:val="24"/>
          <w:szCs w:val="24"/>
          <w:lang w:val="en-US"/>
        </w:rPr>
      </w:pPr>
      <w:r w:rsidRPr="006A1593">
        <w:rPr>
          <w:sz w:val="24"/>
          <w:szCs w:val="24"/>
          <w:lang w:val="en-US"/>
        </w:rPr>
        <w:t xml:space="preserve">The relationship between the CTA spot sign and NCCT markers remains poorly characterized. Hypodensities and spot sign are more common in patients with large hemorrhages, coagulopathy and shorter time from onset to NCCT suggesting that these </w:t>
      </w:r>
      <w:r w:rsidR="001834E5" w:rsidRPr="006A1593">
        <w:rPr>
          <w:sz w:val="24"/>
          <w:szCs w:val="24"/>
          <w:lang w:val="en-US"/>
        </w:rPr>
        <w:t>markers</w:t>
      </w:r>
      <w:r w:rsidRPr="006A1593">
        <w:rPr>
          <w:sz w:val="24"/>
          <w:szCs w:val="24"/>
          <w:lang w:val="en-US"/>
        </w:rPr>
        <w:t xml:space="preserve"> may reflect the same biological process.</w:t>
      </w:r>
      <w:r w:rsidR="009134B6" w:rsidRPr="006A1593">
        <w:rPr>
          <w:sz w:val="24"/>
          <w:szCs w:val="24"/>
          <w:lang w:val="en-US"/>
        </w:rPr>
        <w:fldChar w:fldCharType="begin" w:fldLock="1"/>
      </w:r>
      <w:r w:rsidR="00BA1458" w:rsidRPr="006A1593">
        <w:rPr>
          <w:sz w:val="24"/>
          <w:szCs w:val="24"/>
          <w:lang w:val="en-US"/>
        </w:rPr>
        <w:instrText>ADDIN CSL_CITATION {"citationItems":[{"id":"ITEM-1","itemData":{"DOI":"10.1161/STROKEAHA.118.022010","ISSN":"0039-2499","PMID":"30354976","abstract":"Background and Purpose- Noncontrast computed tomographic (CT) hypodensities represent an alternative to the CT angiography spot sign (SS) to predict intracerebral hemorrhage (ICH) expansion. However, previous studies suggested that these markers predicted hematoma expansion independently from each other. We investigated whether the integration of SS and hypodensity (HD) improved the stratification of ICH expansion risk. Methods- A single-center cohort of consecutive patients with ICH was retrospectively analyzed. Patients with available CT angiography, baseline, and follow-up noncontrast CT images available were included. Trained readers reviewed all the images for SS and HD presence, and the study population was classified into 4 groups: SS and HD negative (SS-HD-), SS positive only (SS+HD-), HD positive only (SS-HD+), and SS and HD positive (SS+HD+). ICH expansion was defined as hematoma growth &gt;33% or &gt;6 mL. The association between SS and HD presence and ICH expansion was investigated with multivariable logistic regression. Results- A total of 745 subjects qualified for the analysis (median age, 73 years; 54.1% men). The rates of ICH expansion were 9.3% in SS-HD-, 25.8% in SS+HD-, 27.4% in SS-HD+, and 55.6% in SS+HD+ patients ( P&lt;0.001). After adjustment for potential confounders and keeping SS-HD- subjects as reference, the risk of ICH expansion was increased in SS+HD- and SS-HD+ patients (odds ratio, 2.93, P=0.002 and odds ratio, 3.02, P&lt;0.001, respectively). SS+HD+ subjects had the highest risk of hematoma growth (odds ratio, 9.50; P&lt;0.001). Conclusions- Integration of SS and HD improves the stratification of hematoma growth risk and may help the selection of patients with ICH for antiexpansion treatment in clinical trials.","author":[{"dropping-particle":"","family":"Morotti","given":"Andrea","non-dropping-particle":"","parse-names":false,"suffix":""},{"dropping-particle":"","family":"Boulouis","given":"Gregoire","non-dropping-particle":"","parse-names":false,"suffix":""},{"dropping-particle":"","family":"Charidimou","given":"Andreas","non-dropping-particle":"","parse-names":false,"suffix":""},{"dropping-particle":"","family":"Schwab","given":"Kristin","non-dropping-particle":"","parse-names":false,"suffix":""},{"dropping-particle":"","family":"Kourkoulis","given":"Christina","non-dropping-particle":"","parse-names":false,"suffix":""},{"dropping-particle":"","family":"Anderson","given":"Christopher D.","non-dropping-particle":"","parse-names":false,"suffix":""},{"dropping-particle":"","family":"Gurol","given":"M. Edip","non-dropping-particle":"","parse-names":false,"suffix":""},{"dropping-particle":"","family":"Viswanathan","given":"Anand","non-dropping-particle":"","parse-names":false,"suffix":""},{"dropping-particle":"","family":"Romero","given":"Javier M.","non-dropping-particle":"","parse-names":false,"suffix":""},{"dropping-particle":"","family":"Greenberg","given":"Steven M.","non-dropping-particle":"","parse-names":false,"suffix":""},{"dropping-particle":"","family":"Rosand","given":"Jonathan","non-dropping-particle":"","parse-names":false,"suffix":""},{"dropping-particle":"","family":"Goldstein","given":"Joshua N.","non-dropping-particle":"","parse-names":false,"suffix":""}],"container-title":"Stroke","id":"ITEM-1","issue":"9","issued":{"date-parts":[["2018","9"]]},"page":"2067-2073","title":"Integration of Computed Tomographic Angiography Spot Sign and Noncontrast Computed Tomographic Hypodensities to Predict Hematoma Expansion","type":"article-journal","volume":"49"},"uris":["http://www.mendeley.com/documents/?uuid=c8b6b795-8a39-3ed8-8dfb-815b1bac8e69"]}],"mendeley":{"formattedCitation":"&lt;sup&gt;54&lt;/sup&gt;","plainTextFormattedCitation":"54","previouslyFormattedCitation":"&lt;sup&gt;54&lt;/sup&gt;"},"properties":{"noteIndex":0},"schema":"https://github.com/citation-style-language/schema/raw/master/csl-citation.json"}</w:instrText>
      </w:r>
      <w:r w:rsidR="009134B6" w:rsidRPr="006A1593">
        <w:rPr>
          <w:sz w:val="24"/>
          <w:szCs w:val="24"/>
          <w:lang w:val="en-US"/>
        </w:rPr>
        <w:fldChar w:fldCharType="separate"/>
      </w:r>
      <w:r w:rsidR="00BA1458" w:rsidRPr="006A1593">
        <w:rPr>
          <w:noProof/>
          <w:sz w:val="24"/>
          <w:szCs w:val="24"/>
          <w:vertAlign w:val="superscript"/>
          <w:lang w:val="en-US"/>
        </w:rPr>
        <w:t>54</w:t>
      </w:r>
      <w:r w:rsidR="009134B6" w:rsidRPr="006A1593">
        <w:rPr>
          <w:sz w:val="24"/>
          <w:szCs w:val="24"/>
          <w:lang w:val="en-US"/>
        </w:rPr>
        <w:fldChar w:fldCharType="end"/>
      </w:r>
      <w:r w:rsidRPr="006A1593">
        <w:rPr>
          <w:sz w:val="24"/>
          <w:szCs w:val="24"/>
          <w:lang w:val="en-US"/>
        </w:rPr>
        <w:t xml:space="preserve"> However, in a large retrospective single-center study the simultaneous presence of these markers was uncommon (less than 1 in 5 patients) and when included together in a logistic regression model</w:t>
      </w:r>
      <w:r w:rsidR="002138F3" w:rsidRPr="006A1593">
        <w:rPr>
          <w:sz w:val="24"/>
          <w:szCs w:val="24"/>
          <w:lang w:val="en-US"/>
        </w:rPr>
        <w:t>, both</w:t>
      </w:r>
      <w:r w:rsidRPr="006A1593">
        <w:rPr>
          <w:sz w:val="24"/>
          <w:szCs w:val="24"/>
          <w:lang w:val="en-US"/>
        </w:rPr>
        <w:t xml:space="preserve"> hypodensities and spot sign remained independently associated with </w:t>
      </w:r>
      <w:r w:rsidR="00932EB9" w:rsidRPr="006A1593">
        <w:rPr>
          <w:sz w:val="24"/>
          <w:szCs w:val="24"/>
          <w:lang w:val="en-US"/>
        </w:rPr>
        <w:t>HE</w:t>
      </w:r>
      <w:r w:rsidRPr="006A1593">
        <w:rPr>
          <w:sz w:val="24"/>
          <w:szCs w:val="24"/>
          <w:lang w:val="en-US"/>
        </w:rPr>
        <w:t>.</w:t>
      </w:r>
      <w:r w:rsidR="009134B6" w:rsidRPr="006A1593">
        <w:rPr>
          <w:sz w:val="24"/>
          <w:szCs w:val="24"/>
          <w:lang w:val="en-US"/>
        </w:rPr>
        <w:fldChar w:fldCharType="begin" w:fldLock="1"/>
      </w:r>
      <w:r w:rsidR="00BA1458" w:rsidRPr="006A1593">
        <w:rPr>
          <w:sz w:val="24"/>
          <w:szCs w:val="24"/>
          <w:lang w:val="en-US"/>
        </w:rPr>
        <w:instrText>ADDIN CSL_CITATION {"citationItems":[{"id":"ITEM-1","itemData":{"DOI":"10.1161/STROKEAHA.118.022010","ISSN":"0039-2499","PMID":"30354976","abstract":"Background and Purpose- Noncontrast computed tomographic (CT) hypodensities represent an alternative to the CT angiography spot sign (SS) to predict intracerebral hemorrhage (ICH) expansion. However, previous studies suggested that these markers predicted hematoma expansion independently from each other. We investigated whether the integration of SS and hypodensity (HD) improved the stratification of ICH expansion risk. Methods- A single-center cohort of consecutive patients with ICH was retrospectively analyzed. Patients with available CT angiography, baseline, and follow-up noncontrast CT images available were included. Trained readers reviewed all the images for SS and HD presence, and the study population was classified into 4 groups: SS and HD negative (SS-HD-), SS positive only (SS+HD-), HD positive only (SS-HD+), and SS and HD positive (SS+HD+). ICH expansion was defined as hematoma growth &gt;33% or &gt;6 mL. The association between SS and HD presence and ICH expansion was investigated with multivariable logistic regression. Results- A total of 745 subjects qualified for the analysis (median age, 73 years; 54.1% men). The rates of ICH expansion were 9.3% in SS-HD-, 25.8% in SS+HD-, 27.4% in SS-HD+, and 55.6% in SS+HD+ patients ( P&lt;0.001). After adjustment for potential confounders and keeping SS-HD- subjects as reference, the risk of ICH expansion was increased in SS+HD- and SS-HD+ patients (odds ratio, 2.93, P=0.002 and odds ratio, 3.02, P&lt;0.001, respectively). SS+HD+ subjects had the highest risk of hematoma growth (odds ratio, 9.50; P&lt;0.001). Conclusions- Integration of SS and HD improves the stratification of hematoma growth risk and may help the selection of patients with ICH for antiexpansion treatment in clinical trials.","author":[{"dropping-particle":"","family":"Morotti","given":"Andrea","non-dropping-particle":"","parse-names":false,"suffix":""},{"dropping-particle":"","family":"Boulouis","given":"Gregoire","non-dropping-particle":"","parse-names":false,"suffix":""},{"dropping-particle":"","family":"Charidimou","given":"Andreas","non-dropping-particle":"","parse-names":false,"suffix":""},{"dropping-particle":"","family":"Schwab","given":"Kristin","non-dropping-particle":"","parse-names":false,"suffix":""},{"dropping-particle":"","family":"Kourkoulis","given":"Christina","non-dropping-particle":"","parse-names":false,"suffix":""},{"dropping-particle":"","family":"Anderson","given":"Christopher D.","non-dropping-particle":"","parse-names":false,"suffix":""},{"dropping-particle":"","family":"Gurol","given":"M. Edip","non-dropping-particle":"","parse-names":false,"suffix":""},{"dropping-particle":"","family":"Viswanathan","given":"Anand","non-dropping-particle":"","parse-names":false,"suffix":""},{"dropping-particle":"","family":"Romero","given":"Javier M.","non-dropping-particle":"","parse-names":false,"suffix":""},{"dropping-particle":"","family":"Greenberg","given":"Steven M.","non-dropping-particle":"","parse-names":false,"suffix":""},{"dropping-particle":"","family":"Rosand","given":"Jonathan","non-dropping-particle":"","parse-names":false,"suffix":""},{"dropping-particle":"","family":"Goldstein","given":"Joshua N.","non-dropping-particle":"","parse-names":false,"suffix":""}],"container-title":"Stroke","id":"ITEM-1","issue":"9","issued":{"date-parts":[["2018","9"]]},"page":"2067-2073","title":"Integration of Computed Tomographic Angiography Spot Sign and Noncontrast Computed Tomographic Hypodensities to Predict Hematoma Expansion","type":"article-journal","volume":"49"},"uris":["http://www.mendeley.com/documents/?uuid=c8b6b795-8a39-3ed8-8dfb-815b1bac8e69"]}],"mendeley":{"formattedCitation":"&lt;sup&gt;54&lt;/sup&gt;","plainTextFormattedCitation":"54","previouslyFormattedCitation":"&lt;sup&gt;54&lt;/sup&gt;"},"properties":{"noteIndex":0},"schema":"https://github.com/citation-style-language/schema/raw/master/csl-citation.json"}</w:instrText>
      </w:r>
      <w:r w:rsidR="009134B6" w:rsidRPr="006A1593">
        <w:rPr>
          <w:sz w:val="24"/>
          <w:szCs w:val="24"/>
          <w:lang w:val="en-US"/>
        </w:rPr>
        <w:fldChar w:fldCharType="separate"/>
      </w:r>
      <w:r w:rsidR="00BA1458" w:rsidRPr="006A1593">
        <w:rPr>
          <w:noProof/>
          <w:sz w:val="24"/>
          <w:szCs w:val="24"/>
          <w:vertAlign w:val="superscript"/>
          <w:lang w:val="en-US"/>
        </w:rPr>
        <w:t>54</w:t>
      </w:r>
      <w:r w:rsidR="009134B6" w:rsidRPr="006A1593">
        <w:rPr>
          <w:sz w:val="24"/>
          <w:szCs w:val="24"/>
          <w:lang w:val="en-US"/>
        </w:rPr>
        <w:fldChar w:fldCharType="end"/>
      </w:r>
      <w:r w:rsidR="009F2FA5" w:rsidRPr="006A1593">
        <w:rPr>
          <w:sz w:val="24"/>
          <w:szCs w:val="24"/>
          <w:lang w:val="en-US"/>
        </w:rPr>
        <w:t xml:space="preserve"> Conversely, </w:t>
      </w:r>
      <w:proofErr w:type="spellStart"/>
      <w:r w:rsidR="009F2FA5" w:rsidRPr="006A1593">
        <w:rPr>
          <w:sz w:val="24"/>
          <w:szCs w:val="24"/>
          <w:lang w:val="en-US"/>
        </w:rPr>
        <w:t>Sporns</w:t>
      </w:r>
      <w:proofErr w:type="spellEnd"/>
      <w:r w:rsidR="009F2FA5" w:rsidRPr="006A1593">
        <w:rPr>
          <w:sz w:val="24"/>
          <w:szCs w:val="24"/>
          <w:lang w:val="en-US"/>
        </w:rPr>
        <w:t xml:space="preserve"> and colleagues showed that a significant proportion of blend sign positive patients also showed evidence of a spot sign.</w:t>
      </w:r>
      <w:r w:rsidR="009F2FA5" w:rsidRPr="006A1593">
        <w:rPr>
          <w:sz w:val="24"/>
          <w:szCs w:val="24"/>
          <w:lang w:val="en-US"/>
        </w:rPr>
        <w:fldChar w:fldCharType="begin" w:fldLock="1"/>
      </w:r>
      <w:r w:rsidR="00BA1458" w:rsidRPr="006A1593">
        <w:rPr>
          <w:sz w:val="24"/>
          <w:szCs w:val="24"/>
          <w:lang w:val="en-US"/>
        </w:rPr>
        <w:instrText>ADDIN CSL_CITATION {"citationItems":[{"id":"ITEM-1","itemData":{"DOI":"10.1161/STROKEAHA.116.014068","ISSN":"0039-2499","PMID":"27879447","abstract":"BACKGROUND AND PURPOSE Significant early hematoma growth in patients with intracerebral hemorrhage is an independent predictor of poor functional outcome. Recently, the novel blend sign (BS) has been introduced as a new imaging sign for predicting hematoma growth in noncontrast computed tomography. Another parameter predicting increasing hematoma size is the well-established spot sign (SS) visible in computed tomographic angiography. We, therefore, aimed to clarify the association between established SS and novel BS and their values predicting a secondary neurological deterioration. METHODS Retrospective study inclusion criteria were (1) spontaneous intracerebral hemorrhage confirmed on noncontrast computed tomography and (2) noncontrast computed tomography and computed tomographic angiography performed on admission within 6 hours after onset of symptoms. We defined a binary outcome (secondary neurological deterioration versus no secondary deterioration). As secondary neurological deterioration, we defined (1) early hemicraniectomy under standardized criteria or (2) secondary decrease of Glasgow Coma Scale of &gt;3 points, both within the first 48 hours after symptom onset. RESULTS Of 182 patients with spontaneous intracerebral hemorrhage, 37 (20.3%) presented with BS and 39 (21.4%) with SS. Of the 81 patients with secondary deterioration, 31 (38.3%) had BS and</w:instrText>
      </w:r>
      <w:r w:rsidR="00BA1458" w:rsidRPr="006A1593">
        <w:rPr>
          <w:rFonts w:hint="eastAsia"/>
          <w:sz w:val="24"/>
          <w:szCs w:val="24"/>
          <w:lang w:val="en-US"/>
        </w:rPr>
        <w:instrText xml:space="preserve"> SS on admission. Multivariable logistic regression analysis identified hematoma volume (odds ratio, 1.07 per mL; P</w:instrText>
      </w:r>
      <w:r w:rsidR="00BA1458" w:rsidRPr="006A1593">
        <w:rPr>
          <w:rFonts w:hint="eastAsia"/>
          <w:sz w:val="24"/>
          <w:szCs w:val="24"/>
          <w:lang w:val="en-US"/>
        </w:rPr>
        <w:instrText>≤</w:instrText>
      </w:r>
      <w:r w:rsidR="00BA1458" w:rsidRPr="006A1593">
        <w:rPr>
          <w:rFonts w:hint="eastAsia"/>
          <w:sz w:val="24"/>
          <w:szCs w:val="24"/>
          <w:lang w:val="en-US"/>
        </w:rPr>
        <w:instrText>0.001), intraventricular hemorrhage (odds ratio, 3.08; P=0.008), and the presence of BS (odds ratio, 11.47; P</w:instrText>
      </w:r>
      <w:r w:rsidR="00BA1458" w:rsidRPr="006A1593">
        <w:rPr>
          <w:rFonts w:hint="eastAsia"/>
          <w:sz w:val="24"/>
          <w:szCs w:val="24"/>
          <w:lang w:val="en-US"/>
        </w:rPr>
        <w:instrText>≤</w:instrText>
      </w:r>
      <w:r w:rsidR="00BA1458" w:rsidRPr="006A1593">
        <w:rPr>
          <w:rFonts w:hint="eastAsia"/>
          <w:sz w:val="24"/>
          <w:szCs w:val="24"/>
          <w:lang w:val="en-US"/>
        </w:rPr>
        <w:instrText>0.001) as independent predict</w:instrText>
      </w:r>
      <w:r w:rsidR="00BA1458" w:rsidRPr="006A1593">
        <w:rPr>
          <w:sz w:val="24"/>
          <w:szCs w:val="24"/>
          <w:lang w:val="en-US"/>
        </w:rPr>
        <w:instrText>ors of neurological deterioration. CONCLUSIONS The BS, which is obtainable in noncontrast computed tomography, shows a high correlation with the computed tomographic angiography SS and is a reliable predictor of secondary neurological deterioration after spontaneous intracerebral hemorrhage.","author":[{"dropping-particle":"","family":"Sporns","given":"Peter B.","non-dropping-particle":"","parse-names":false,"suffix":""},{"dropping-particle":"","family":"Schwake","given":"Michael","non-dropping-particle":"","parse-names":false,"suffix":""},{"dropping-particle":"","family":"Schmidt","given":"Rene","non-dropping-particle":"","parse-names":false,"suffix":""},{"dropping-particle":"","family":"Kemmling","given":"André","non-dropping-particle":"","parse-names":false,"suffix":""},{"dropping-particle":"","family":"Minnerup","given":"Jens","non-dropping-particle":"","parse-names":false,"suffix":""},{"dropping-particle":"","family":"Schwindt","given":"Wolfram","non-dropping-particle":"","parse-names":false,"suffix":""},{"dropping-particle":"","family":"Cnyrim","given":"Christian","non-dropping-particle":"","parse-names":false,"suffix":""},{"dropping-particle":"","family":"Zoubi","given":"Tarek","non-dropping-particle":"","parse-names":false,"suffix":""},{"dropping-particle":"","family":"Heindel","given":"Walter","non-dropping-particle":"","parse-names":false,"suffix":""},{"dropping-particle":"","family":"Niederstadt","given":"Thomas","non-dropping-particle":"","parse-names":false,"suffix":""},{"dropping-particle":"","family":"Hanning","given":"Uta","non-dropping-particle":"","parse-names":false,"suffix":""}],"container-title":"Stroke","id":"ITEM-1","issue":"1","issued":{"date-parts":[["2017","1"]]},"note":"NULL","page":"131-135","title":"Computed Tomographic Blend Sign Is Associated With Computed Tomographic Angiography Spot Sign and Predicts Secondary Neurological Deterioration After Intracerebral Hemorrhage","type":"article-journal","volume":"48"},"uris":["http://www.mendeley.com/documents/?uuid=19f27d90-8edd-398a-9f3d-fb71d6ddc728"]}],"mendeley":{"formattedCitation":"&lt;sup&gt;55&lt;/sup&gt;","plainTextFormattedCitation":"55","previouslyFormattedCitation":"&lt;sup&gt;55&lt;/sup&gt;"},"properties":{"noteIndex":0},"schema":"https://github.com/citation-style-language/schema/raw/master/csl-citation.json"}</w:instrText>
      </w:r>
      <w:r w:rsidR="009F2FA5" w:rsidRPr="006A1593">
        <w:rPr>
          <w:sz w:val="24"/>
          <w:szCs w:val="24"/>
          <w:lang w:val="en-US"/>
        </w:rPr>
        <w:fldChar w:fldCharType="separate"/>
      </w:r>
      <w:r w:rsidR="00BA1458" w:rsidRPr="006A1593">
        <w:rPr>
          <w:noProof/>
          <w:sz w:val="24"/>
          <w:szCs w:val="24"/>
          <w:vertAlign w:val="superscript"/>
          <w:lang w:val="en-US"/>
        </w:rPr>
        <w:t>55</w:t>
      </w:r>
      <w:r w:rsidR="009F2FA5" w:rsidRPr="006A1593">
        <w:rPr>
          <w:sz w:val="24"/>
          <w:szCs w:val="24"/>
          <w:lang w:val="en-US"/>
        </w:rPr>
        <w:fldChar w:fldCharType="end"/>
      </w:r>
      <w:r w:rsidR="009F2FA5" w:rsidRPr="006A1593">
        <w:rPr>
          <w:sz w:val="24"/>
          <w:szCs w:val="24"/>
          <w:lang w:val="en-US"/>
        </w:rPr>
        <w:t xml:space="preserve"> </w:t>
      </w:r>
      <w:r w:rsidRPr="006A1593">
        <w:rPr>
          <w:sz w:val="24"/>
          <w:szCs w:val="24"/>
          <w:lang w:val="en-US"/>
        </w:rPr>
        <w:t xml:space="preserve">In summary, the limited </w:t>
      </w:r>
      <w:r w:rsidR="002138F3" w:rsidRPr="006A1593">
        <w:rPr>
          <w:sz w:val="24"/>
          <w:szCs w:val="24"/>
          <w:lang w:val="en-US"/>
        </w:rPr>
        <w:t xml:space="preserve">available </w:t>
      </w:r>
      <w:r w:rsidRPr="006A1593">
        <w:rPr>
          <w:sz w:val="24"/>
          <w:szCs w:val="24"/>
          <w:lang w:val="en-US"/>
        </w:rPr>
        <w:t xml:space="preserve">evidence suggests that there is some correlation between spot sign and NCCT markers but the direction and strength of this association may </w:t>
      </w:r>
      <w:r w:rsidR="008B06EA" w:rsidRPr="006A1593">
        <w:rPr>
          <w:sz w:val="24"/>
          <w:szCs w:val="24"/>
          <w:lang w:val="en-US"/>
        </w:rPr>
        <w:t>be different</w:t>
      </w:r>
      <w:r w:rsidRPr="006A1593">
        <w:rPr>
          <w:sz w:val="24"/>
          <w:szCs w:val="24"/>
          <w:lang w:val="en-US"/>
        </w:rPr>
        <w:t xml:space="preserve"> </w:t>
      </w:r>
      <w:r w:rsidR="008B06EA" w:rsidRPr="006A1593">
        <w:rPr>
          <w:sz w:val="24"/>
          <w:szCs w:val="24"/>
          <w:lang w:val="en-US"/>
        </w:rPr>
        <w:t xml:space="preserve">across </w:t>
      </w:r>
      <w:r w:rsidRPr="006A1593">
        <w:rPr>
          <w:sz w:val="24"/>
          <w:szCs w:val="24"/>
          <w:lang w:val="en-US"/>
        </w:rPr>
        <w:t>NCCT signs.</w:t>
      </w:r>
      <w:r w:rsidR="009F2FA5" w:rsidRPr="006A1593">
        <w:rPr>
          <w:sz w:val="24"/>
          <w:szCs w:val="24"/>
          <w:lang w:val="en-US"/>
        </w:rPr>
        <w:t xml:space="preserve"> </w:t>
      </w:r>
      <w:r w:rsidR="00675FCD" w:rsidRPr="006A1593">
        <w:rPr>
          <w:sz w:val="24"/>
          <w:szCs w:val="24"/>
          <w:lang w:val="en-US"/>
        </w:rPr>
        <w:t>S</w:t>
      </w:r>
      <w:r w:rsidR="000F1C6B" w:rsidRPr="006A1593">
        <w:rPr>
          <w:sz w:val="24"/>
          <w:szCs w:val="24"/>
          <w:lang w:val="en-US"/>
        </w:rPr>
        <w:t xml:space="preserve">pot sign may be further refined by evaluation </w:t>
      </w:r>
      <w:r w:rsidR="001834E5" w:rsidRPr="006A1593">
        <w:rPr>
          <w:sz w:val="24"/>
          <w:szCs w:val="24"/>
          <w:lang w:val="en-US"/>
        </w:rPr>
        <w:t>with multiphase CTA</w:t>
      </w:r>
      <w:r w:rsidR="000F1C6B" w:rsidRPr="006A1593">
        <w:rPr>
          <w:sz w:val="24"/>
          <w:szCs w:val="24"/>
          <w:lang w:val="en-US"/>
        </w:rPr>
        <w:t xml:space="preserve">. </w:t>
      </w:r>
      <w:r w:rsidR="000F1C6B" w:rsidRPr="006A1593">
        <w:rPr>
          <w:color w:val="000000"/>
          <w:sz w:val="24"/>
          <w:szCs w:val="24"/>
          <w:shd w:val="clear" w:color="auto" w:fill="FFFFFF"/>
          <w:lang w:val="en-US"/>
        </w:rPr>
        <w:t xml:space="preserve">The more arterial the pattern of spot sign presentation, the greater the frequency of </w:t>
      </w:r>
      <w:r w:rsidR="00932EB9" w:rsidRPr="006A1593">
        <w:rPr>
          <w:color w:val="000000"/>
          <w:sz w:val="24"/>
          <w:szCs w:val="24"/>
          <w:shd w:val="clear" w:color="auto" w:fill="FFFFFF"/>
          <w:lang w:val="en-US"/>
        </w:rPr>
        <w:t>HE</w:t>
      </w:r>
      <w:r w:rsidR="000F1C6B" w:rsidRPr="006A1593">
        <w:rPr>
          <w:color w:val="000000"/>
          <w:sz w:val="24"/>
          <w:szCs w:val="24"/>
          <w:shd w:val="clear" w:color="auto" w:fill="FFFFFF"/>
          <w:lang w:val="en-US"/>
        </w:rPr>
        <w:t>.</w:t>
      </w:r>
      <w:r w:rsidR="009134B6" w:rsidRPr="006A1593">
        <w:rPr>
          <w:color w:val="000000"/>
          <w:sz w:val="24"/>
          <w:szCs w:val="24"/>
          <w:shd w:val="clear" w:color="auto" w:fill="FFFFFF"/>
          <w:lang w:val="en-US"/>
        </w:rPr>
        <w:fldChar w:fldCharType="begin" w:fldLock="1"/>
      </w:r>
      <w:r w:rsidR="00BA1458" w:rsidRPr="006A1593">
        <w:rPr>
          <w:color w:val="000000"/>
          <w:sz w:val="24"/>
          <w:szCs w:val="24"/>
          <w:shd w:val="clear" w:color="auto" w:fill="FFFFFF"/>
          <w:lang w:val="en-US"/>
        </w:rPr>
        <w:instrText>ADDIN CSL_CITATION {"citationItems":[{"id":"ITEM-1","itemData":{"DOI":"10.1148/radiol.2017162839","ISSN":"0033-8419","abstract":"Multiphase CT angiography can aid in differentiating among different patterns of spot sign presentation, which can help stratify patients at risk for hematoma expansion and may provide additional information on the pathophysiology of the spot sign.","author":[{"dropping-particle":"","family":"Rodriguez-Luna","given":"David","non-dropping-particle":"","parse-names":false,"suffix":""},{"dropping-particle":"","family":"Coscojuela","given":"Pilar","non-dropping-particle":"","parse-names":false,"suffix":""},{"dropping-particle":"","family":"Rodriguez-Villatoro","given":"Noelia","non-dropping-particle":"","parse-names":false,"suffix":""},{"dropping-particle":"","family":"Juega","given":"Jesús M.","non-dropping-particle":"","parse-names":false,"suffix":""},{"dropping-particle":"","family":"Boned","given":"Sandra","non-dropping-particle":"","parse-names":false,"suffix":""},{"dropping-particle":"","family":"Muchada","given":"Marián","non-dropping-particle":"","parse-names":false,"suffix":""},{"dropping-particle":"","family":"Pagola","given":"Jorge","non-dropping-particle":"","parse-names":false,"suffix":""},{"dropping-particle":"","family":"Rubiera","given":"Marta","non-dropping-particle":"","parse-names":false,"suffix":""},{"dropping-particle":"","family":"Ribo","given":"Marc","non-dropping-particle":"","parse-names":false,"suffix":""},{"dropping-particle":"","family":"Tomasello","given":"Alejandro","non-dropping-particle":"","parse-names":false,"suffix":""},{"dropping-particle":"","family":"Demchuk","given":"Andrew M.","non-dropping-particle":"","parse-names":false,"suffix":""},{"dropping-particle":"","family":"Goyal","given":"Mayank","non-dropping-particle":"","parse-names":false,"suffix":""},{"dropping-particle":"","family":"Molina","given":"Carlos A.","non-dropping-particle":"","parse-names":false,"suffix":""}],"container-title":"Radiology","id":"ITEM-1","issue":"3","issued":{"date-parts":[["2017","12","3"]]},"page":"932-940","publisher":"Radiological Society of North America","title":"Multiphase CT Angiography Improves Prediction of Intracerebral Hemorrhage Expansion","type":"article-journal","volume":"285"},"uris":["http://www.mendeley.com/documents/?uuid=3d5ea990-9a2b-379f-9b3f-5a0ad9c3cf04"]}],"mendeley":{"formattedCitation":"&lt;sup&gt;56&lt;/sup&gt;","plainTextFormattedCitation":"56","previouslyFormattedCitation":"&lt;sup&gt;56&lt;/sup&gt;"},"properties":{"noteIndex":0},"schema":"https://github.com/citation-style-language/schema/raw/master/csl-citation.json"}</w:instrText>
      </w:r>
      <w:r w:rsidR="009134B6" w:rsidRPr="006A1593">
        <w:rPr>
          <w:color w:val="000000"/>
          <w:sz w:val="24"/>
          <w:szCs w:val="24"/>
          <w:shd w:val="clear" w:color="auto" w:fill="FFFFFF"/>
          <w:lang w:val="en-US"/>
        </w:rPr>
        <w:fldChar w:fldCharType="separate"/>
      </w:r>
      <w:r w:rsidR="00BA1458" w:rsidRPr="006A1593">
        <w:rPr>
          <w:noProof/>
          <w:color w:val="000000"/>
          <w:sz w:val="24"/>
          <w:szCs w:val="24"/>
          <w:shd w:val="clear" w:color="auto" w:fill="FFFFFF"/>
          <w:vertAlign w:val="superscript"/>
          <w:lang w:val="en-US"/>
        </w:rPr>
        <w:t>56</w:t>
      </w:r>
      <w:r w:rsidR="009134B6" w:rsidRPr="006A1593">
        <w:rPr>
          <w:color w:val="000000"/>
          <w:sz w:val="24"/>
          <w:szCs w:val="24"/>
          <w:shd w:val="clear" w:color="auto" w:fill="FFFFFF"/>
          <w:lang w:val="en-US"/>
        </w:rPr>
        <w:fldChar w:fldCharType="end"/>
      </w:r>
      <w:r w:rsidR="000F1C6B" w:rsidRPr="006A1593">
        <w:rPr>
          <w:color w:val="000000"/>
          <w:sz w:val="24"/>
          <w:szCs w:val="24"/>
          <w:shd w:val="clear" w:color="auto" w:fill="FFFFFF"/>
          <w:lang w:val="en-US"/>
        </w:rPr>
        <w:t xml:space="preserve"> The presence of early</w:t>
      </w:r>
      <w:r w:rsidR="00675FCD" w:rsidRPr="006A1593">
        <w:rPr>
          <w:color w:val="000000"/>
          <w:sz w:val="24"/>
          <w:szCs w:val="24"/>
          <w:shd w:val="clear" w:color="auto" w:fill="FFFFFF"/>
          <w:lang w:val="en-US"/>
        </w:rPr>
        <w:t xml:space="preserve"> </w:t>
      </w:r>
      <w:r w:rsidR="000F1C6B" w:rsidRPr="006A1593">
        <w:rPr>
          <w:rStyle w:val="highlight"/>
          <w:color w:val="000000"/>
          <w:sz w:val="24"/>
          <w:szCs w:val="24"/>
          <w:shd w:val="clear" w:color="auto" w:fill="FFFFFF"/>
          <w:lang w:val="en-US"/>
        </w:rPr>
        <w:t>spot</w:t>
      </w:r>
      <w:r w:rsidR="00675FCD" w:rsidRPr="006A1593">
        <w:rPr>
          <w:color w:val="000000"/>
          <w:sz w:val="24"/>
          <w:szCs w:val="24"/>
          <w:shd w:val="clear" w:color="auto" w:fill="FFFFFF"/>
          <w:lang w:val="en-US"/>
        </w:rPr>
        <w:t xml:space="preserve"> </w:t>
      </w:r>
      <w:r w:rsidR="000F1C6B" w:rsidRPr="006A1593">
        <w:rPr>
          <w:rStyle w:val="highlight"/>
          <w:color w:val="000000"/>
          <w:sz w:val="24"/>
          <w:szCs w:val="24"/>
          <w:shd w:val="clear" w:color="auto" w:fill="FFFFFF"/>
          <w:lang w:val="en-US"/>
        </w:rPr>
        <w:t>sign</w:t>
      </w:r>
      <w:r w:rsidR="00675FCD" w:rsidRPr="006A1593">
        <w:rPr>
          <w:color w:val="000000"/>
          <w:sz w:val="24"/>
          <w:szCs w:val="24"/>
          <w:shd w:val="clear" w:color="auto" w:fill="FFFFFF"/>
          <w:lang w:val="en-US"/>
        </w:rPr>
        <w:t xml:space="preserve"> (</w:t>
      </w:r>
      <w:r w:rsidR="000F1C6B" w:rsidRPr="006A1593">
        <w:rPr>
          <w:color w:val="000000"/>
          <w:sz w:val="24"/>
          <w:szCs w:val="24"/>
          <w:shd w:val="clear" w:color="auto" w:fill="FFFFFF"/>
          <w:lang w:val="en-US"/>
        </w:rPr>
        <w:t>&lt;23 seconds after contrast injection) is a strong independent predictor of HE</w:t>
      </w:r>
      <w:r w:rsidR="001834E5" w:rsidRPr="006A1593">
        <w:rPr>
          <w:color w:val="000000"/>
          <w:sz w:val="24"/>
          <w:szCs w:val="24"/>
          <w:shd w:val="clear" w:color="auto" w:fill="FFFFFF"/>
          <w:lang w:val="en-US"/>
        </w:rPr>
        <w:t xml:space="preserve"> and t</w:t>
      </w:r>
      <w:r w:rsidR="000949DA" w:rsidRPr="006A1593">
        <w:rPr>
          <w:color w:val="000000"/>
          <w:sz w:val="24"/>
          <w:szCs w:val="24"/>
          <w:shd w:val="clear" w:color="auto" w:fill="FFFFFF"/>
          <w:lang w:val="en-US"/>
        </w:rPr>
        <w:t>his redefined early-</w:t>
      </w:r>
      <w:r w:rsidR="000F1C6B" w:rsidRPr="006A1593">
        <w:rPr>
          <w:color w:val="000000"/>
          <w:sz w:val="24"/>
          <w:szCs w:val="24"/>
          <w:shd w:val="clear" w:color="auto" w:fill="FFFFFF"/>
          <w:lang w:val="en-US"/>
        </w:rPr>
        <w:t>occurring</w:t>
      </w:r>
      <w:r w:rsidR="00675FCD" w:rsidRPr="006A1593">
        <w:rPr>
          <w:color w:val="000000"/>
          <w:sz w:val="24"/>
          <w:szCs w:val="24"/>
          <w:shd w:val="clear" w:color="auto" w:fill="FFFFFF"/>
          <w:lang w:val="en-US"/>
        </w:rPr>
        <w:t xml:space="preserve"> </w:t>
      </w:r>
      <w:r w:rsidR="000F1C6B" w:rsidRPr="006A1593">
        <w:rPr>
          <w:rStyle w:val="highlight"/>
          <w:color w:val="000000"/>
          <w:sz w:val="24"/>
          <w:szCs w:val="24"/>
          <w:shd w:val="clear" w:color="auto" w:fill="FFFFFF"/>
          <w:lang w:val="en-US"/>
        </w:rPr>
        <w:t>spot</w:t>
      </w:r>
      <w:r w:rsidR="00675FCD" w:rsidRPr="006A1593">
        <w:rPr>
          <w:color w:val="000000"/>
          <w:sz w:val="24"/>
          <w:szCs w:val="24"/>
          <w:shd w:val="clear" w:color="auto" w:fill="FFFFFF"/>
          <w:lang w:val="en-US"/>
        </w:rPr>
        <w:t xml:space="preserve"> </w:t>
      </w:r>
      <w:r w:rsidR="000F1C6B" w:rsidRPr="006A1593">
        <w:rPr>
          <w:rStyle w:val="highlight"/>
          <w:color w:val="000000"/>
          <w:sz w:val="24"/>
          <w:szCs w:val="24"/>
          <w:shd w:val="clear" w:color="auto" w:fill="FFFFFF"/>
          <w:lang w:val="en-US"/>
        </w:rPr>
        <w:t xml:space="preserve">sign </w:t>
      </w:r>
      <w:r w:rsidR="000F1C6B" w:rsidRPr="006A1593">
        <w:rPr>
          <w:color w:val="000000"/>
          <w:sz w:val="24"/>
          <w:szCs w:val="24"/>
          <w:shd w:val="clear" w:color="auto" w:fill="FFFFFF"/>
          <w:lang w:val="en-US"/>
        </w:rPr>
        <w:t xml:space="preserve">maintained a higher specificity for HE </w:t>
      </w:r>
      <w:r w:rsidR="0067154C" w:rsidRPr="006A1593">
        <w:rPr>
          <w:color w:val="000000"/>
          <w:sz w:val="24"/>
          <w:szCs w:val="24"/>
          <w:shd w:val="clear" w:color="auto" w:fill="FFFFFF"/>
          <w:lang w:val="en-US"/>
        </w:rPr>
        <w:t xml:space="preserve">(91% vs </w:t>
      </w:r>
      <w:r w:rsidR="000F1C6B" w:rsidRPr="006A1593">
        <w:rPr>
          <w:color w:val="000000"/>
          <w:sz w:val="24"/>
          <w:szCs w:val="24"/>
          <w:shd w:val="clear" w:color="auto" w:fill="FFFFFF"/>
          <w:lang w:val="en-US"/>
        </w:rPr>
        <w:t>74%)</w:t>
      </w:r>
      <w:r w:rsidR="000F1C6B" w:rsidRPr="006A1593">
        <w:rPr>
          <w:sz w:val="24"/>
          <w:szCs w:val="24"/>
          <w:lang w:val="en-US"/>
        </w:rPr>
        <w:t>.</w:t>
      </w:r>
      <w:r w:rsidR="009134B6" w:rsidRPr="006A1593">
        <w:rPr>
          <w:sz w:val="24"/>
          <w:szCs w:val="24"/>
          <w:lang w:val="en-US"/>
        </w:rPr>
        <w:fldChar w:fldCharType="begin" w:fldLock="1"/>
      </w:r>
      <w:r w:rsidR="00BA1458" w:rsidRPr="006A1593">
        <w:rPr>
          <w:sz w:val="24"/>
          <w:szCs w:val="24"/>
          <w:lang w:val="en-US"/>
        </w:rPr>
        <w:instrText>ADDIN CSL_CITATION {"citationItems":[{"id":"ITEM-1","itemData":{"DOI":"10.1161/STROKEAHA.116.012697","ISSN":"1524-4628","PMID":"27026627","abstract":"BACKGROUND AND PURPOSE Most previous studies have used single-phase computed tomographic angiography to detect the spot sign, a marker for hematoma expansion (HE) in spontaneous intracerebral hemorrhage. We investigated whether defining the spot sign based on timing on perfusion computed tomography (CTP) would improve its specificity for predicting HE. METHODS We prospectively enrolled supratentorial spontaneous intracerebral hemorrhage patients who underwent CTP within 6 hours of onset. Logistic regression was performed to assess the risk factors for HE and poor outcome. Predictive performance of individual CTP spot sign characteristics were examined with receiver operating characteristic analysis. RESULTS Sixty-two men and 21 women with spontaneous intracerebral hemorrhage were included in this analysis. Spot sign was detected in 46% (38/83) of patients. Receiver operating characteristic analysis indicated that the timing of spot sign occurrence on CTP had the greatest area under receiver operating characteristic curve for HE (0.794; 95% confidence interval, 0.630-0.958; P=0.007); the cutoff time was 23.13 seconds. On multivariable analysis, the presence of early-occurring spot sign (ie, spot sign before 23.13 seconds) was an independent predictor not only of HE (odds ratio=28.835; 95% confidence interval, 6.960-119.458; P&lt;0.001), but also of mortality at 3 months (odds ratio =22.377; 95% confidence interval, 1.773-282.334; P=0.016). Moreover, the predictive performance showed that the redefined early-occurring spot sign maintained a higher specificity for HE compared with spot sign (91% versus 74%). CONCLUSIONS Redefining the spot sign based on timing of contrast leakage on CTP to determine early-occurring spot sign improves the specificity for predicting HE and 3-month mortality. The use of early-occurring spot sign could improve the selection of ICH patients for potential hemostatic therapy.","author":[{"dropping-particle":"","family":"Wang","given":"Binli","non-dropping-particle":"","parse-names":false,"suffix":""},{"dropping-particle":"","family":"Yan","given":"Shenqiang","non-dropping-particle":"","parse-names":false,"suffix":""},{"dropping-particle":"","family":"Xu","given":"Mengjun","non-dropping-particle":"","parse-names":false,"suffix":""},{"dropping-particle":"","family":"Zhang","given":"Sheng","non-dropping-particle":"","parse-names":false,"suffix":""},{"dropping-particle":"","family":"Liu","given":"Keqin","non-dropping-particle":"","parse-names":false,"suffix":""},{"dropping-particle":"","family":"Hu","given":"Haitao","non-dropping-particle":"","parse-names":false,"suffix":""},{"dropping-particle":"","family":"Selim","given":"Magdy","non-dropping-particle":"","parse-names":false,"suffix":""},{"dropping-particle":"","family":"Lou","given":"Min","non-dropping-particle":"","parse-names":false,"suffix":""}],"container-title":"Stroke","id":"ITEM-1","issue":"5","issued":{"date-parts":[["2016","5"]]},"page":"1233-1238","title":"Timing of Occurrence Is the Most Important Characteristic of Spot Sign.","type":"article-journal","volume":"47"},"uris":["http://www.mendeley.com/documents/?uuid=6213f04a-c23b-3559-9cfe-4e40886e0368"]}],"mendeley":{"formattedCitation":"&lt;sup&gt;57&lt;/sup&gt;","plainTextFormattedCitation":"57","previouslyFormattedCitation":"&lt;sup&gt;57&lt;/sup&gt;"},"properties":{"noteIndex":0},"schema":"https://github.com/citation-style-language/schema/raw/master/csl-citation.json"}</w:instrText>
      </w:r>
      <w:r w:rsidR="009134B6" w:rsidRPr="006A1593">
        <w:rPr>
          <w:sz w:val="24"/>
          <w:szCs w:val="24"/>
          <w:lang w:val="en-US"/>
        </w:rPr>
        <w:fldChar w:fldCharType="separate"/>
      </w:r>
      <w:r w:rsidR="00BA1458" w:rsidRPr="006A1593">
        <w:rPr>
          <w:noProof/>
          <w:sz w:val="24"/>
          <w:szCs w:val="24"/>
          <w:vertAlign w:val="superscript"/>
          <w:lang w:val="en-US"/>
        </w:rPr>
        <w:t>57</w:t>
      </w:r>
      <w:r w:rsidR="009134B6" w:rsidRPr="006A1593">
        <w:rPr>
          <w:sz w:val="24"/>
          <w:szCs w:val="24"/>
          <w:lang w:val="en-US"/>
        </w:rPr>
        <w:fldChar w:fldCharType="end"/>
      </w:r>
      <w:r w:rsidR="000F1C6B" w:rsidRPr="006A1593">
        <w:rPr>
          <w:sz w:val="24"/>
          <w:szCs w:val="24"/>
          <w:lang w:val="en-US"/>
        </w:rPr>
        <w:t xml:space="preserve"> </w:t>
      </w:r>
      <w:r w:rsidR="000F1C6B" w:rsidRPr="006A1593">
        <w:rPr>
          <w:color w:val="000000"/>
          <w:sz w:val="24"/>
          <w:szCs w:val="24"/>
          <w:shd w:val="clear" w:color="auto" w:fill="FFFFFF"/>
          <w:lang w:val="en-US"/>
        </w:rPr>
        <w:t xml:space="preserve">Time resolved CTA can also </w:t>
      </w:r>
      <w:r w:rsidR="00675FCD" w:rsidRPr="006A1593">
        <w:rPr>
          <w:color w:val="000000"/>
          <w:sz w:val="24"/>
          <w:szCs w:val="24"/>
          <w:shd w:val="clear" w:color="auto" w:fill="FFFFFF"/>
          <w:lang w:val="en-US"/>
        </w:rPr>
        <w:t xml:space="preserve">be </w:t>
      </w:r>
      <w:r w:rsidR="000F1C6B" w:rsidRPr="006A1593">
        <w:rPr>
          <w:color w:val="000000"/>
          <w:sz w:val="24"/>
          <w:szCs w:val="24"/>
          <w:shd w:val="clear" w:color="auto" w:fill="FFFFFF"/>
          <w:lang w:val="en-US"/>
        </w:rPr>
        <w:t>evaluate</w:t>
      </w:r>
      <w:r w:rsidR="00675FCD" w:rsidRPr="006A1593">
        <w:rPr>
          <w:color w:val="000000"/>
          <w:sz w:val="24"/>
          <w:szCs w:val="24"/>
          <w:shd w:val="clear" w:color="auto" w:fill="FFFFFF"/>
          <w:lang w:val="en-US"/>
        </w:rPr>
        <w:t>d</w:t>
      </w:r>
      <w:r w:rsidR="000949DA" w:rsidRPr="006A1593">
        <w:rPr>
          <w:color w:val="000000"/>
          <w:sz w:val="24"/>
          <w:szCs w:val="24"/>
          <w:shd w:val="clear" w:color="auto" w:fill="FFFFFF"/>
          <w:lang w:val="en-US"/>
        </w:rPr>
        <w:t xml:space="preserve"> for</w:t>
      </w:r>
      <w:r w:rsidR="000F1C6B" w:rsidRPr="006A1593">
        <w:rPr>
          <w:color w:val="000000"/>
          <w:sz w:val="24"/>
          <w:szCs w:val="24"/>
          <w:shd w:val="clear" w:color="auto" w:fill="FFFFFF"/>
          <w:lang w:val="en-US"/>
        </w:rPr>
        <w:t xml:space="preserve"> progressive enhancing foci ("dynamic</w:t>
      </w:r>
      <w:r w:rsidR="00675FCD" w:rsidRPr="006A1593">
        <w:rPr>
          <w:color w:val="000000"/>
          <w:sz w:val="24"/>
          <w:szCs w:val="24"/>
          <w:shd w:val="clear" w:color="auto" w:fill="FFFFFF"/>
          <w:lang w:val="en-US"/>
        </w:rPr>
        <w:t xml:space="preserve"> </w:t>
      </w:r>
      <w:r w:rsidR="000F1C6B" w:rsidRPr="006A1593">
        <w:rPr>
          <w:rStyle w:val="highlight"/>
          <w:color w:val="000000"/>
          <w:sz w:val="24"/>
          <w:szCs w:val="24"/>
          <w:shd w:val="clear" w:color="auto" w:fill="FFFFFF"/>
          <w:lang w:val="en-US"/>
        </w:rPr>
        <w:t>spot</w:t>
      </w:r>
      <w:r w:rsidR="00675FCD" w:rsidRPr="006A1593">
        <w:rPr>
          <w:color w:val="000000"/>
          <w:sz w:val="24"/>
          <w:szCs w:val="24"/>
          <w:shd w:val="clear" w:color="auto" w:fill="FFFFFF"/>
          <w:lang w:val="en-US"/>
        </w:rPr>
        <w:t xml:space="preserve"> </w:t>
      </w:r>
      <w:r w:rsidR="000F1C6B" w:rsidRPr="006A1593">
        <w:rPr>
          <w:rStyle w:val="highlight"/>
          <w:color w:val="000000"/>
          <w:sz w:val="24"/>
          <w:szCs w:val="24"/>
          <w:shd w:val="clear" w:color="auto" w:fill="FFFFFF"/>
          <w:lang w:val="en-US"/>
        </w:rPr>
        <w:t>sign</w:t>
      </w:r>
      <w:r w:rsidR="000F1C6B" w:rsidRPr="006A1593">
        <w:rPr>
          <w:color w:val="000000"/>
          <w:sz w:val="24"/>
          <w:szCs w:val="24"/>
          <w:shd w:val="clear" w:color="auto" w:fill="FFFFFF"/>
          <w:lang w:val="en-US"/>
        </w:rPr>
        <w:t>")</w:t>
      </w:r>
      <w:r w:rsidR="000F1C6B" w:rsidRPr="006A1593">
        <w:rPr>
          <w:sz w:val="24"/>
          <w:szCs w:val="24"/>
          <w:lang w:val="en-US"/>
        </w:rPr>
        <w:t xml:space="preserve"> that enlarges over time on successive phases.</w:t>
      </w:r>
      <w:r w:rsidR="009134B6" w:rsidRPr="006A1593">
        <w:rPr>
          <w:sz w:val="24"/>
          <w:szCs w:val="24"/>
          <w:lang w:val="en-US"/>
        </w:rPr>
        <w:fldChar w:fldCharType="begin" w:fldLock="1"/>
      </w:r>
      <w:r w:rsidR="00BA1458" w:rsidRPr="006A1593">
        <w:rPr>
          <w:sz w:val="24"/>
          <w:szCs w:val="24"/>
          <w:lang w:val="en-US"/>
        </w:rPr>
        <w:instrText>ADDIN CSL_CITATION {"citationItems":[{"id":"ITEM-1","itemData":{"DOI":"10.1007/s00330-013-2803-4","ISSN":"1432-1084","PMID":"23508276","abstract":"OBJECTIVES To evaluate the association between dynamic progressive enhancing foci (\"dynamic spot sign\") in acute haematoma on CT perfusion source images (CTP-SI) and haematoma expansion. METHODS One hundred twelve consecutive patients with spontaneous intracerebral haemorrhage according to unenhanced CT, CTP and CT angiography within 6 h of symptom onset were prospectively evaluated. Patients were dichotomised according to the presence/absence of the dynamic spot sign on CTP-SI in haematoma. The predictive value of haematoma expansion was analysed. RESULTS Haematoma expansion was detected in 28 patients (25.0 %) on follow-up unenhanced CT images. Thirty patients (26.8 %) demonstrated the dynamic spot sign on CTP-SI, about 83.3 % of patients with haematoma expansion (P &lt; 0.001). Sensitivity, specificity, positive predictive value, negative predictive value and kappa value for expansion were 89.3 %, 94.0 %, 96.3 %, 83.3 % and 0.814, respectively. In multiple regression, the presence of the CTP dynamic spot sign within acute haematomas independently predicted haematoma expansion; the univariate analysis OR value was 131.667 (29.386-590.289), P &lt; 0.0001. Moreover, the multivariate analysis CTP dynamic spot sign OR value was 203.996 (32.123-1295.488), P &lt; 0.0001. CONCLUSIONS The CTP-SI dynamic spot sign is associated with acute haematoma expansion, is more direct in showing active ongoing bleeding and has a higher predictive value than the CTA spot sign. KEY POINTS • It is important to identify potential progression of spontaneous intracerebral haemorrhage. • Dynamic enhancement within CT perfusion source images is associated with haemorrhage expansion. • The CTP dynamic spot sign may be present throughout arterial to venous phase imaging. • The CTP dynamic spot sign carries a higher predive value for haematoma expansion than CTA.","author":[{"dropping-particle":"","family":"Sun","given":"Sheng-Jun","non-dropping-particle":"","parse-names":false,"suffix":""},{"dropping-particle":"","family":"Gao","given":"Pei-Yi","non-dropping-particle":"","parse-names":false,"suffix":""},{"dropping-particle":"","family":"Sui","given":"Bin-Bin","non-dropping-particle":"","parse-names":false,"suffix":""},{"dropping-particle":"","family":"Hou","given":"Xin-Yi","non-dropping-particle":"","parse-names":false,"suffix":""},{"dropping-particle":"","family":"Lin","given":"Yan","non-dropping-particle":"","parse-names":false,"suffix":""},{"dropping-particle":"","family":"Xue","given":"Jing","non-dropping-particle":"","parse-names":false,"suffix":""},{"dropping-particle":"","family":"Zhai","given":"Ren-You","non-dropping-particle":"","parse-names":false,"suffix":""}],"container-title":"European radiology","id":"ITEM-1","issue":"7","issued":{"date-parts":[["2013","7","19"]]},"page":"1846-54","title":"&amp;quot;Dynamic spot sign&amp;quot; on CT perfusion source images predicts haematoma expansion in acute intracerebral haemorrhage.","type":"article-journal","volume":"23"},"uris":["http://www.mendeley.com/documents/?uuid=b8e3f27a-d6b3-35c8-9597-ed409de5e858"]}],"mendeley":{"formattedCitation":"&lt;sup&gt;58&lt;/sup&gt;","plainTextFormattedCitation":"58","previouslyFormattedCitation":"&lt;sup&gt;58&lt;/sup&gt;"},"properties":{"noteIndex":0},"schema":"https://github.com/citation-style-language/schema/raw/master/csl-citation.json"}</w:instrText>
      </w:r>
      <w:r w:rsidR="009134B6" w:rsidRPr="006A1593">
        <w:rPr>
          <w:sz w:val="24"/>
          <w:szCs w:val="24"/>
          <w:lang w:val="en-US"/>
        </w:rPr>
        <w:fldChar w:fldCharType="separate"/>
      </w:r>
      <w:r w:rsidR="00BA1458" w:rsidRPr="006A1593">
        <w:rPr>
          <w:noProof/>
          <w:sz w:val="24"/>
          <w:szCs w:val="24"/>
          <w:vertAlign w:val="superscript"/>
          <w:lang w:val="en-US"/>
        </w:rPr>
        <w:t>58</w:t>
      </w:r>
      <w:r w:rsidR="009134B6" w:rsidRPr="006A1593">
        <w:rPr>
          <w:sz w:val="24"/>
          <w:szCs w:val="24"/>
          <w:lang w:val="en-US"/>
        </w:rPr>
        <w:fldChar w:fldCharType="end"/>
      </w:r>
      <w:r w:rsidR="000F1C6B" w:rsidRPr="006A1593">
        <w:rPr>
          <w:sz w:val="24"/>
          <w:szCs w:val="24"/>
          <w:lang w:val="en-US"/>
        </w:rPr>
        <w:t xml:space="preserve"> No studies co</w:t>
      </w:r>
      <w:r w:rsidR="000949DA" w:rsidRPr="006A1593">
        <w:rPr>
          <w:sz w:val="24"/>
          <w:szCs w:val="24"/>
          <w:lang w:val="en-US"/>
        </w:rPr>
        <w:t>mparing NCCT markers with early-</w:t>
      </w:r>
      <w:r w:rsidR="000F1C6B" w:rsidRPr="006A1593">
        <w:rPr>
          <w:sz w:val="24"/>
          <w:szCs w:val="24"/>
          <w:lang w:val="en-US"/>
        </w:rPr>
        <w:t>appearing or dynamic spot signs has been performed</w:t>
      </w:r>
      <w:r w:rsidR="00675FCD" w:rsidRPr="006A1593">
        <w:rPr>
          <w:sz w:val="24"/>
          <w:szCs w:val="24"/>
          <w:lang w:val="en-US"/>
        </w:rPr>
        <w:t>.</w:t>
      </w:r>
    </w:p>
    <w:p w:rsidR="00460669" w:rsidRPr="006A1593" w:rsidRDefault="00460669">
      <w:pPr>
        <w:rPr>
          <w:sz w:val="24"/>
          <w:szCs w:val="24"/>
          <w:vertAlign w:val="superscript"/>
          <w:lang w:val="en-US"/>
        </w:rPr>
      </w:pPr>
      <w:r w:rsidRPr="006A1593">
        <w:rPr>
          <w:sz w:val="24"/>
          <w:szCs w:val="24"/>
          <w:lang w:val="en-US"/>
        </w:rPr>
        <w:t xml:space="preserve">Few studies compared the diagnostic performance of NCCT markers and spot sign for </w:t>
      </w:r>
      <w:r w:rsidR="004D5BE2" w:rsidRPr="006A1593">
        <w:rPr>
          <w:sz w:val="24"/>
          <w:szCs w:val="24"/>
          <w:lang w:val="en-US"/>
        </w:rPr>
        <w:t xml:space="preserve">HE </w:t>
      </w:r>
      <w:r w:rsidRPr="006A1593">
        <w:rPr>
          <w:sz w:val="24"/>
          <w:szCs w:val="24"/>
          <w:lang w:val="en-US"/>
        </w:rPr>
        <w:t>prediction.</w:t>
      </w:r>
      <w:r w:rsidR="009134B6" w:rsidRPr="006A1593">
        <w:rPr>
          <w:sz w:val="24"/>
          <w:szCs w:val="24"/>
          <w:lang w:val="en-US"/>
        </w:rPr>
        <w:fldChar w:fldCharType="begin" w:fldLock="1"/>
      </w:r>
      <w:r w:rsidR="00BA1458" w:rsidRPr="006A1593">
        <w:rPr>
          <w:sz w:val="24"/>
          <w:szCs w:val="24"/>
          <w:lang w:val="en-US"/>
        </w:rPr>
        <w:instrText>ADDIN CSL_CITATION {"citationItems":[{"id":"ITEM-1","itemData":{"DOI":"10.5853/jos.2016.02061","ISSN":"2287-6391","PMID":"29037015","abstract":"Background and Purpose Blend sign (BS) and black hole sign (BHS) on non-contrast computed tomography (NCCT) and spot sign (SS) on CT-angiography (CTA) are indicators of early hematoma expansion in spontaneous intracerebral hemorrhage (ICH). However, their independent contributions to outcome have not been well explored. Methods In this retrospective study, inclusion criteria were: 1) spontaneous ICH and 2) NCCT and CTA performed on admission within 6 hours after onset of symptoms. Discharge outcome was dichotomized as good (modified Rankin Scale [mRS] 0-3) and poor (mRS 4-6) outcomes. The impacts of BHS, BS and SS on outcome were assessed in univariate and multivariable logistic regression models. Results Of 182 patients with spontaneous ICH, 26 (14.3%) presented with BHS, 37 (20.3%) with BS and 39 (21.4%) with SS. There was a substantial correlation between SS and BS (κ=0.701) and a moderate correlation between SS and BHS (κ=0.424). In univariable logistic regression, higher baseline hematoma volume (P&lt;0.001), intraventricular hemorrhage (P=0.002) and the presence of BHS/BS/SS (all P&lt;0.001) on admission CT scan were associated with poor outcome. Multivariable analysis identified intraventricular haemorrhage (odds ratio [OR] 2.22 per mL, P=0.022), baseline hematoma volume (OR 1.03 per mL, P&lt;0.001) and SS on CTA (OR 11.43, P&lt;0.001) as independent predictors of poor outcome, showing that SS compared to BS and BHS was more powerful to predict poor outcome. Conclusions The NCCT BHS and BS are correlated with the CTA SS and are reliable predictors of poor outcome in patients with ICH. Of the CT variables indicating early hematoma expansion, SS on CTA was the most reliable outcome predictor. However, given their correlation with SS on CTA, BS and BHS on NCCT can be useful for predicting outcome if CTA is not obtainable.","author":[{"dropping-particle":"","family":"Sporns","given":"Peter B","non-dropping-particle":"","parse-names":false,"suffix":""},{"dropping-particle":"","family":"Schwake","given":"Michael","non-dropping-particle":"","parse-names":false,"suffix":""},{"dropping-particle":"","family":"Kemmling","given":"André","non-dropping-particle":"","parse-names":false,"suffix":""},{"dropping-particle":"","family":"Minnerup","given":"Jens","non-dropping-particle":"","parse-names":false,"suffix":""},{"dropping-particle":"","family":"Schwindt","given":"Wolfram","non-dropping-particle":"","parse-names":false,"suffix":""},{"dropping-particle":"","family":"Niederstadt","given":"Thomas","non-dropping-particle":"","parse-names":false,"suffix":""},{"dropping-particle":"","family":"Schmidt","given":"Rene","non-dropping-particle":"","parse-names":false,"suffix":""},{"dropping-particle":"","family":"Hanning","given":"Uta","non-dropping-particle":"","parse-names":false,"suffix":""}],"container-title":"Journal of Stroke","id":"ITEM-1","issue":"3","issued":{"date-parts":[["2017"]]},"page":"333-339","title":"Comparison of Spot Sign, Blend Sign and Black Hole Sign for Outcome Prediction in Patients with Intracerebral Hemorrhage","type":"article-journal","volume":"19"},"uris":["http://www.mendeley.com/documents/?uuid=7710fed9-ae76-4a4b-9762-b3d3252086c0"]},{"id":"ITEM-2","itemData":{"DOI":"10.12659/MSM.901583","ISSN":"1643-3750","PMID":"28498827","abstract":"BACKGROUND Hematoma expansion is associated with poor outcome in intracerebral hemorrhage (ICH) patients. The spot sign and the blend sign are reliable tools for predicting hematoma expansion in ICH patients. The aim of this study was to compare the accuracy of the two signs in the prediction of hematoma expansion. MATERIAL AND METHODS Patients with spontaneous ICH were screened for the presence of the computed tomography angiography (CTA) spot sign and the non-contrast CT (NCCT) blend sign within 6 hours after onset of symptoms. The sensitivity, specificity, and positive and negative predictive values of the spot sign and the blend sign in predicting hematoma expansion were calculated. The accuracy of the spot sign and the blend sign in predicting hematoma expansion was analyzed by receiver-operator analysis. RESULTS A total of 115 patients were enrolled in this study. The spot sign was observed in 25 (21.74%) patients, whereas the blend sign was observed in 22 (19.13%) patients. Of the 28 patients with hematoma expansion, the CTA spot sign was found on admission CT scans in 16 (57.14%) and the NCCT blend sign in 12 (42.86%), respectively. The sensitivity, specificity, positive predictive value, and negative predictive value of the spot sign for predicting hematoma expansion were 57.14%, 89.66%, 64.00%, and 86.67%, respectively. In contrast, the sensitivity, specificity, positive predictive value, and negative predictive value of the blend sign were 42.86%, 88.51%, 54.55%, and 82.80%, respectively. The area under the curve (AUC) of the spot sign was 0.734, which was higher than that of the blend sign (0.657). CONCLUSIONS Both the spot sign and the blend sign seemed to be good predictors for hematoma expansion, and the spot sign appeared to have better predictive accuracy.","author":[{"dropping-particle":"","family":"Zheng","given":"Jun","non-dropping-particle":"","parse-names":false,"suffix":""},{"dropping-particle":"","family":"Yu","given":"Zhiyuan","non-dropping-particle":"","parse-names":false,"suffix":""},{"dropping-particle":"","family":"Xu","given":"Zhao","non-dropping-particle":"","parse-names":false,"suffix":""},{"dropping-particle":"","family":"Li","given":"Mou","non-dropping-particle":"","parse-names":false,"suffix":""},{"dropping-particle":"","family":"Wang","given":"Xiaoze","non-dropping-particle":"","parse-names":false,"suffix":""},{"dropping-particle":"","family":"Lin","given":"Sen","non-dropping-particle":"","parse-names":false,"suffix":""},{"dropping-particle":"","family":"Li","given":"Hao","non-dropping-particle":"","parse-names":false,"suffix":""},{"dropping-particle":"","family":"You","given":"Chao","non-dropping-particle":"","parse-names":false,"suffix":""}],"container-title":"Medical Science Monitor","id":"ITEM-2","issued":{"date-parts":[["2017"]]},"page":"2250-2257","title":"The Accuracy of the Spot Sign and the Blend Sign for Predicting Hematoma Expansion in Patients with Spontaneous Intracerebral Hemorrhage","type":"article-journal","volume":"23"},"uris":["http://www.mendeley.com/documents/?uuid=d7dbf6da-9164-428f-89e4-8763844c23d2"]},{"id":"ITEM-3","itemData":{"DOI":"10.1016/j.jns.2017.05.049","ISSN":"18785883","abstract":"Background Hematoma density heterogeneity (HDH) and ultraearly hematoma growth (uHG) are novel imaging predictors for hematoma expansion (HE) based on computed tomography (CT). This study was aimed to compare the accuracy of HDH and uHG in HE prediction within a cohort of spontaneous intracerebral hemorrhage (sICH) patients. Methods This study included sICH patients with initial CT within 6 h after onset. uHG was defined as baseline hematoma volume/onset-to-CT time (ml/h) and the cutoff was 4.7 ml/h. HDH was evaluated following a 5-point categorical scale and HDH grade was dichotomized into homogeneous (1–2) and heterogeneous (3–5). The predictive accuracy of HDH and uHG was analyzed by receiver-operator analysis. Results A total of 13</w:instrText>
      </w:r>
      <w:r w:rsidR="00BA1458" w:rsidRPr="006A1593">
        <w:rPr>
          <w:rFonts w:hint="eastAsia"/>
          <w:sz w:val="24"/>
          <w:szCs w:val="24"/>
          <w:lang w:val="en-US"/>
        </w:rPr>
        <w:instrText>7 patients were included in this study. The mean uHG and median HDH grade were significantly higher in patients with HE. In multivariable analysis, uHG </w:instrText>
      </w:r>
      <w:r w:rsidR="00BA1458" w:rsidRPr="006A1593">
        <w:rPr>
          <w:rFonts w:hint="eastAsia"/>
          <w:sz w:val="24"/>
          <w:szCs w:val="24"/>
          <w:lang w:val="en-US"/>
        </w:rPr>
        <w:instrText>≥</w:instrText>
      </w:r>
      <w:r w:rsidR="00BA1458" w:rsidRPr="006A1593">
        <w:rPr>
          <w:rFonts w:hint="eastAsia"/>
          <w:sz w:val="24"/>
          <w:szCs w:val="24"/>
          <w:lang w:val="en-US"/>
        </w:rPr>
        <w:instrText> 4.7 and HDH grade </w:instrText>
      </w:r>
      <w:r w:rsidR="00BA1458" w:rsidRPr="006A1593">
        <w:rPr>
          <w:rFonts w:hint="eastAsia"/>
          <w:sz w:val="24"/>
          <w:szCs w:val="24"/>
          <w:lang w:val="en-US"/>
        </w:rPr>
        <w:instrText>≥</w:instrText>
      </w:r>
      <w:r w:rsidR="00BA1458" w:rsidRPr="006A1593">
        <w:rPr>
          <w:rFonts w:hint="eastAsia"/>
          <w:sz w:val="24"/>
          <w:szCs w:val="24"/>
          <w:lang w:val="en-US"/>
        </w:rPr>
        <w:instrText> 3 were associated with HE independently. The sensitivity, specificity, positive predictive value (PPV) and negative predictive value (NPV) of uHG </w:instrText>
      </w:r>
      <w:r w:rsidR="00BA1458" w:rsidRPr="006A1593">
        <w:rPr>
          <w:rFonts w:hint="eastAsia"/>
          <w:sz w:val="24"/>
          <w:szCs w:val="24"/>
          <w:lang w:val="en-US"/>
        </w:rPr>
        <w:instrText>≥</w:instrText>
      </w:r>
      <w:r w:rsidR="00BA1458" w:rsidRPr="006A1593">
        <w:rPr>
          <w:rFonts w:hint="eastAsia"/>
          <w:sz w:val="24"/>
          <w:szCs w:val="24"/>
          <w:lang w:val="en-US"/>
        </w:rPr>
        <w:instrText> 4.7 were 76.5%, 57.3%, 37.1%, and 88.1%, respectively. The sensitivity, specificity, PPV and NPV of HDH grade </w:instrText>
      </w:r>
      <w:r w:rsidR="00BA1458" w:rsidRPr="006A1593">
        <w:rPr>
          <w:rFonts w:hint="eastAsia"/>
          <w:sz w:val="24"/>
          <w:szCs w:val="24"/>
          <w:lang w:val="en-US"/>
        </w:rPr>
        <w:instrText>≥</w:instrText>
      </w:r>
      <w:r w:rsidR="00BA1458" w:rsidRPr="006A1593">
        <w:rPr>
          <w:rFonts w:hint="eastAsia"/>
          <w:sz w:val="24"/>
          <w:szCs w:val="24"/>
          <w:lang w:val="en-US"/>
        </w:rPr>
        <w:instrText> 3 were 55.9%, 70.9%, 39.8% and 83.0%, respectively. Conclusions Both HDH and</w:instrText>
      </w:r>
      <w:r w:rsidR="00BA1458" w:rsidRPr="006A1593">
        <w:rPr>
          <w:sz w:val="24"/>
          <w:szCs w:val="24"/>
          <w:lang w:val="en-US"/>
        </w:rPr>
        <w:instrText xml:space="preserve"> uHG are promising predictors for HE. HDH has higher specificity while uHG is more sensitive.","author":[{"dropping-particle":"","family":"Yu","given":"Zhiyuan","non-dropping-particle":"","parse-names":false,"suffix":""},{"dropping-particle":"","family":"Ma","given":"Lu","non-dropping-particle":"","parse-names":false,"suffix":""},{"dropping-particle":"","family":"Zheng","given":"Jun","non-dropping-particle":"","parse-names":false,"suffix":""},{"dropping-particle":"","family":"Guo","given":"Rui","non-dropping-particle":"","parse-names":false,"suffix":""},{"dropping-particle":"","family":"Li","given":"Mou","non-dropping-particle":"","parse-names":false,"suffix":""},{"dropping-particle":"","family":"Wang","given":"Xiaoze","non-dropping-particle":"","parse-names":false,"suffix":""},{"dropping-particle":"","family":"Lin","given":"Sen","non-dropping-particle":"","parse-names":false,"suffix":""},{"dropping-particle":"","family":"Li","given":"Hao","non-dropping-particle":"","parse-names":false,"suffix":""},{"dropping-particle":"","family":"You","given":"Chao","non-dropping-particle":"","parse-names":false,"suffix":""}],"container-title":"Journal of the Neurological Sciences","id":"ITEM-3","issued":{"date-parts":[["2017"]]},"page":"44-48","title":"Comparison of hematoma density heterogeneity and ultraearly hematoma growth in predicting hematoma expansion in patients with spontaneous intracerebral hemorrhage","type":"article-journal","volume":"379"},"uris":["http://www.mendeley.com/documents/?uuid=d3787597-f5fb-4c9f-80ff-34b0d600f3f6"]}],"mendeley":{"formattedCitation":"&lt;sup&gt;30,59,60&lt;/sup&gt;","plainTextFormattedCitation":"30,59,60","previouslyFormattedCitation":"&lt;sup&gt;30,59,60&lt;/sup&gt;"},"properties":{"noteIndex":0},"schema":"https://github.com/citation-style-language/schema/raw/master/csl-citation.json"}</w:instrText>
      </w:r>
      <w:r w:rsidR="009134B6" w:rsidRPr="006A1593">
        <w:rPr>
          <w:sz w:val="24"/>
          <w:szCs w:val="24"/>
          <w:lang w:val="en-US"/>
        </w:rPr>
        <w:fldChar w:fldCharType="separate"/>
      </w:r>
      <w:r w:rsidR="00BA1458" w:rsidRPr="006A1593">
        <w:rPr>
          <w:noProof/>
          <w:sz w:val="24"/>
          <w:szCs w:val="24"/>
          <w:vertAlign w:val="superscript"/>
          <w:lang w:val="en-US"/>
        </w:rPr>
        <w:t>30,59,60</w:t>
      </w:r>
      <w:r w:rsidR="009134B6" w:rsidRPr="006A1593">
        <w:rPr>
          <w:sz w:val="24"/>
          <w:szCs w:val="24"/>
          <w:lang w:val="en-US"/>
        </w:rPr>
        <w:fldChar w:fldCharType="end"/>
      </w:r>
      <w:r w:rsidR="004F3CC5" w:rsidRPr="006A1593">
        <w:rPr>
          <w:sz w:val="24"/>
          <w:szCs w:val="24"/>
          <w:vertAlign w:val="superscript"/>
          <w:lang w:val="en-US"/>
        </w:rPr>
        <w:t xml:space="preserve"> </w:t>
      </w:r>
      <w:r w:rsidR="00C26225" w:rsidRPr="006A1593">
        <w:rPr>
          <w:sz w:val="24"/>
          <w:szCs w:val="24"/>
          <w:lang w:val="en-US"/>
        </w:rPr>
        <w:t>Validated NCCT-based scores</w:t>
      </w:r>
      <w:r w:rsidR="00F33D93" w:rsidRPr="006A1593">
        <w:rPr>
          <w:sz w:val="24"/>
          <w:szCs w:val="24"/>
          <w:lang w:val="en-US"/>
        </w:rPr>
        <w:t xml:space="preserve"> to predict HE</w:t>
      </w:r>
      <w:r w:rsidR="00C26225" w:rsidRPr="006A1593">
        <w:rPr>
          <w:sz w:val="24"/>
          <w:szCs w:val="24"/>
          <w:lang w:val="en-US"/>
        </w:rPr>
        <w:t xml:space="preserve"> had a discriminative ability non-</w:t>
      </w:r>
      <w:r w:rsidR="00C26225" w:rsidRPr="006A1593">
        <w:rPr>
          <w:sz w:val="24"/>
          <w:szCs w:val="24"/>
          <w:lang w:val="en-US"/>
        </w:rPr>
        <w:lastRenderedPageBreak/>
        <w:t>inferior to the CTA spot sign</w:t>
      </w:r>
      <w:r w:rsidR="00C26225" w:rsidRPr="006A1593">
        <w:rPr>
          <w:sz w:val="24"/>
          <w:szCs w:val="24"/>
          <w:lang w:val="en-US"/>
        </w:rPr>
        <w:fldChar w:fldCharType="begin" w:fldLock="1"/>
      </w:r>
      <w:r w:rsidR="00BA1458" w:rsidRPr="006A1593">
        <w:rPr>
          <w:sz w:val="24"/>
          <w:szCs w:val="24"/>
          <w:lang w:val="en-US"/>
        </w:rPr>
        <w:instrText>ADDIN CSL_CITATION {"citationItems":[{"id":"ITEM-1","itemData":{"DOI":"10.1016/j.wneu.2019.02.125","ISSN":"18788750","PMID":"30844526","abstract":"OBJECTIVE The BAT score is a novel prediction score of hematoma expansion based on noncontrast computed tomography (CT) and consists of the blend sign, hypodensities, and time interval from onset to CT. This study aimed to compare the BAT score and the spot sign on CT angiography in a cohort of patients with spontaneous intracerebral hemorrhage. METHODS Eligible patients with spontaneous intracerebral hemorrhage were analyzed retrospectively. The BAT score and the spot sign were assessed according to the criteria described in previous studies. Receiver operating curve analysis was used to assess the performance</w:instrText>
      </w:r>
      <w:r w:rsidR="00BA1458" w:rsidRPr="006A1593">
        <w:rPr>
          <w:rFonts w:hint="eastAsia"/>
          <w:sz w:val="24"/>
          <w:szCs w:val="24"/>
          <w:lang w:val="en-US"/>
        </w:rPr>
        <w:instrText xml:space="preserve"> of the BAT score and the spot sign in hematoma expansion prediction. RESULTS In 225 included patients, 34 (15.1%) had a BAT score </w:instrText>
      </w:r>
      <w:r w:rsidR="00BA1458" w:rsidRPr="006A1593">
        <w:rPr>
          <w:rFonts w:hint="eastAsia"/>
          <w:sz w:val="24"/>
          <w:szCs w:val="24"/>
          <w:lang w:val="en-US"/>
        </w:rPr>
        <w:instrText>≥</w:instrText>
      </w:r>
      <w:r w:rsidR="00BA1458" w:rsidRPr="006A1593">
        <w:rPr>
          <w:rFonts w:hint="eastAsia"/>
          <w:sz w:val="24"/>
          <w:szCs w:val="24"/>
          <w:lang w:val="en-US"/>
        </w:rPr>
        <w:instrText xml:space="preserve">3. The spot sign was shown in 68 (30.2%) patients. Hematoma expansion was identified in 56 (24.9%) patients. In multivariate analysis, both BAT score </w:instrText>
      </w:r>
      <w:r w:rsidR="00BA1458" w:rsidRPr="006A1593">
        <w:rPr>
          <w:rFonts w:hint="eastAsia"/>
          <w:sz w:val="24"/>
          <w:szCs w:val="24"/>
          <w:lang w:val="en-US"/>
        </w:rPr>
        <w:instrText>≥</w:instrText>
      </w:r>
      <w:r w:rsidR="00BA1458" w:rsidRPr="006A1593">
        <w:rPr>
          <w:rFonts w:hint="eastAsia"/>
          <w:sz w:val="24"/>
          <w:szCs w:val="24"/>
          <w:lang w:val="en-US"/>
        </w:rPr>
        <w:instrText xml:space="preserve">3 and presence of spot sign were independently correlated with hematoma expansion. BAT score </w:instrText>
      </w:r>
      <w:r w:rsidR="00BA1458" w:rsidRPr="006A1593">
        <w:rPr>
          <w:rFonts w:hint="eastAsia"/>
          <w:sz w:val="24"/>
          <w:szCs w:val="24"/>
          <w:lang w:val="en-US"/>
        </w:rPr>
        <w:instrText>≥</w:instrText>
      </w:r>
      <w:r w:rsidR="00BA1458" w:rsidRPr="006A1593">
        <w:rPr>
          <w:rFonts w:hint="eastAsia"/>
          <w:sz w:val="24"/>
          <w:szCs w:val="24"/>
          <w:lang w:val="en-US"/>
        </w:rPr>
        <w:instrText xml:space="preserve">3 had 0.41 sensitivity and 0.93 specificity, and spot sign had 0.64 sensitivity and 0.81 specificity. The area under the curve of BAT score </w:instrText>
      </w:r>
      <w:r w:rsidR="00BA1458" w:rsidRPr="006A1593">
        <w:rPr>
          <w:rFonts w:hint="eastAsia"/>
          <w:sz w:val="24"/>
          <w:szCs w:val="24"/>
          <w:lang w:val="en-US"/>
        </w:rPr>
        <w:instrText>≥</w:instrText>
      </w:r>
      <w:r w:rsidR="00BA1458" w:rsidRPr="006A1593">
        <w:rPr>
          <w:rFonts w:hint="eastAsia"/>
          <w:sz w:val="24"/>
          <w:szCs w:val="24"/>
          <w:lang w:val="en-US"/>
        </w:rPr>
        <w:instrText>3 and area under the curve of spot sign were 0.673 and 0.727, respectively (P = 0.386). CONCLUSIONS The BAT score based on noncontrast CT is a good predictor of hematoma expansion. When CT angiography spot sign is unobtainable, the BAT score can b</w:instrText>
      </w:r>
      <w:r w:rsidR="00BA1458" w:rsidRPr="006A1593">
        <w:rPr>
          <w:sz w:val="24"/>
          <w:szCs w:val="24"/>
          <w:lang w:val="en-US"/>
        </w:rPr>
        <w:instrText>e used to predict hematoma expansion.","author":[{"dropping-particle":"","family":"Yu","given":"Zhiyuan","non-dropping-particle":"","parse-names":false,"suffix":""},{"dropping-particle":"","family":"Zheng","given":"Jun","non-dropping-particle":"","parse-names":false,"suffix":""},{"dropping-particle":"","family":"Xia","given":"Fan","non-dropping-particle":"","parse-names":false,"suffix":""},{"dropping-particle":"","family":"Guo","given":"Rui","non-dropping-particle":"","parse-names":false,"suffix":""},{"dropping-particle":"","family":"Ma","given":"Lu","non-dropping-particle":"","parse-names":false,"suffix":""},{"dropping-particle":"","family":"You","given":"Chao","non-dropping-particle":"","parse-names":false,"suffix":""},{"dropping-particle":"","family":"Li","given":"Hao","non-dropping-particle":"","parse-names":false,"suffix":""}],"container-title":"World Neurosurgery","id":"ITEM-1","issued":{"date-parts":[["2019","3","4"]]},"title":"BAT Score Versus Spot Sign in Predicting Intracerebral Hemorrhage Expansion","type":"article-journal"},"uris":["http://www.mendeley.com/documents/?uuid=1dbd203c-27c5-33b1-abc0-f65b0d2e8c85"]},{"id":"ITEM-2","itemData":{"DOI":"10.1007/s12028-019-00740-5","ISSN":"1541-6933","author":[{"dropping-particle":"","family":"Yogendrakumar","given":"Vignan","non-dropping-particle":"","parse-names":false,"suffix":""},{"dropping-particle":"","family":"Ramsay","given":"Tim","non-dropping-particle":"","parse-names":false,"suffix":""},{"dropping-particle":"","family":"Fergusson","given":"Dean A.","non-dropping-particle":"","parse-names":false,"suffix":""},{"dropping-particle":"","family":"Demchuk","given":"Andrew M.","non-dropping-particle":"","parse-names":false,"suffix":""},{"dropping-particle":"","family":"Aviv","given":"Richard I.","non-dropping-particle":"","parse-names":false,"suffix":""},{"dropping-particle":"","family":"Rodriguez-Luna","given":"David","non-dropping-particle":"","parse-names":false,"suffix":""},{"dropping-particle":"","family":"Molina","given":"Carlos A.","non-dropping-particle":"","parse-names":false,"suffix":""},{"dropping-particle":"","family":"Silva Blas","given":"Yolanda","non-dropping-particle":"","parse-names":false,"suffix":""},{"dropping-particle":"","family":"Dzialowski","given":"Imanuel","non-dropping-particle":"","parse-names":false,"suffix":""},{"dropping-particle":"","family":"Kobayashi","given":"Adam","non-dropping-particle":"","parse-names":false,"suffix":""},{"dropping-particle":"","family":"Boulanger","given":"Jean-Martin","non-dropping-particle":"","parse-names":false,"suffix":""},{"dropping-particle":"","family":"Lum","given":"Cheemun","non-dropping-particle":"","parse-names":false,"suffix":""},{"dropping-particle":"","family":"Gubitz","given":"Gord","non-dropping-particle":"","parse-names":false,"suffix":""},{"dropping-particle":"","family":"Srivastava","given":"Padma","non-dropping-particle":"","parse-names":false,"suffix":""},{"dropping-particle":"","family":"Roy","given":"Jayanta","non-dropping-particle":"","parse-names":false,"suffix":""},{"dropping-particle":"","family":"Kase","given":"Carlos S.","non-dropping-particle":"","parse-names":false,"suffix":""},{"dropping-particle":"","family":"Bhatia","given":"Rohit","non-dropping-particle":"","parse-names":false,"suffix":""},{"dropping-particle":"","family":"Hill","given":"Michael D.","non-dropping-particle":"","parse-names":false,"suffix":""},{"dropping-particle":"","family":"Selim","given":"Magdy","non-dropping-particle":"","parse-names":false,"suffix":""},{"dropping-particle":"","family":"Dowlatshahi","given":"Dar","non-dropping-particle":"","parse-names":false,"suffix":""},{"dropping-particle":"","family":"Group","given":"the PREDICT/Sunnybrook CTA Study","non-dropping-particle":"","parse-names":false,"suffix":""}],"container-title":"Neurocritical Care","id":"ITEM-2","issued":{"date-parts":[["2019","5","23"]]},"page":"1-8","publisher":"Springer US","title":"Independent Validation of the Hematoma Expansion Prediction Score: A Non-contrast Score Equivalent in Accuracy to the Spot Sign","type":"article-journal"},"uris":["http://www.mendeley.com/documents/?uuid=45e1483e-02bb-37d1-93cd-ecd88f0b15be"]}],"mendeley":{"formattedCitation":"&lt;sup&gt;61,62&lt;/sup&gt;","plainTextFormattedCitation":"61,62","previouslyFormattedCitation":"&lt;sup&gt;61,62&lt;/sup&gt;"},"properties":{"noteIndex":0},"schema":"https://github.com/citation-style-language/schema/raw/master/csl-citation.json"}</w:instrText>
      </w:r>
      <w:r w:rsidR="00C26225" w:rsidRPr="006A1593">
        <w:rPr>
          <w:sz w:val="24"/>
          <w:szCs w:val="24"/>
          <w:lang w:val="en-US"/>
        </w:rPr>
        <w:fldChar w:fldCharType="separate"/>
      </w:r>
      <w:r w:rsidR="00BA1458" w:rsidRPr="006A1593">
        <w:rPr>
          <w:noProof/>
          <w:sz w:val="24"/>
          <w:szCs w:val="24"/>
          <w:vertAlign w:val="superscript"/>
          <w:lang w:val="en-US"/>
        </w:rPr>
        <w:t>61,62</w:t>
      </w:r>
      <w:r w:rsidR="00C26225" w:rsidRPr="006A1593">
        <w:rPr>
          <w:sz w:val="24"/>
          <w:szCs w:val="24"/>
          <w:lang w:val="en-US"/>
        </w:rPr>
        <w:fldChar w:fldCharType="end"/>
      </w:r>
      <w:r w:rsidR="00C26225" w:rsidRPr="006A1593">
        <w:rPr>
          <w:sz w:val="24"/>
          <w:szCs w:val="24"/>
          <w:lang w:val="en-US"/>
        </w:rPr>
        <w:t>. However, g</w:t>
      </w:r>
      <w:r w:rsidRPr="006A1593">
        <w:rPr>
          <w:sz w:val="24"/>
          <w:szCs w:val="24"/>
          <w:lang w:val="en-US"/>
        </w:rPr>
        <w:t xml:space="preserve">iven the great heterogeneity in terminology, diagnostic criteria, </w:t>
      </w:r>
      <w:r w:rsidR="00932EB9" w:rsidRPr="006A1593">
        <w:rPr>
          <w:sz w:val="24"/>
          <w:szCs w:val="24"/>
          <w:lang w:val="en-US"/>
        </w:rPr>
        <w:t>HE</w:t>
      </w:r>
      <w:r w:rsidRPr="006A1593">
        <w:rPr>
          <w:sz w:val="24"/>
          <w:szCs w:val="24"/>
          <w:lang w:val="en-US"/>
        </w:rPr>
        <w:t xml:space="preserve"> definition, NCCT and CTA acquisition protocol</w:t>
      </w:r>
      <w:r w:rsidR="009134B6" w:rsidRPr="006A1593">
        <w:rPr>
          <w:sz w:val="24"/>
          <w:szCs w:val="24"/>
          <w:lang w:val="en-US"/>
        </w:rPr>
        <w:fldChar w:fldCharType="begin" w:fldLock="1"/>
      </w:r>
      <w:r w:rsidR="00BA1458" w:rsidRPr="006A1593">
        <w:rPr>
          <w:sz w:val="24"/>
          <w:szCs w:val="24"/>
          <w:lang w:val="en-US"/>
        </w:rPr>
        <w:instrText>ADDIN CSL_CITATION {"citationItems":[{"id":"ITEM-1","itemData":{"DOI":"10.3174/ajnr.A4810","ISSN":"1936-959X","PMID":"27197985","abstract":"BACKGROUND AND PURPOSE Reduction of CT tube current is an effective strategy to minimize radiation load. However, tube current is also a major determinant of image quality. We investigated the impact of CTA tube current on spot sign detection and diagnostic performance for intracerebral hemorrhage expansion. MATERIALS AND METHODS We retrospectively analyzed a prospectively collected cohort of consecutive patients with primary intracerebral hemorrhage from January 2001 to April 2015 who underwent CTA. The study population was divided into 2 groups according to the median CTA tube current level: low current (&lt;350 mA) an</w:instrText>
      </w:r>
      <w:r w:rsidR="00BA1458" w:rsidRPr="006A1593">
        <w:rPr>
          <w:rFonts w:hint="eastAsia"/>
          <w:sz w:val="24"/>
          <w:szCs w:val="24"/>
          <w:lang w:val="en-US"/>
        </w:rPr>
        <w:instrText>d high current (</w:instrText>
      </w:r>
      <w:r w:rsidR="00BA1458" w:rsidRPr="006A1593">
        <w:rPr>
          <w:rFonts w:hint="eastAsia"/>
          <w:sz w:val="24"/>
          <w:szCs w:val="24"/>
          <w:lang w:val="en-US"/>
        </w:rPr>
        <w:instrText>≥</w:instrText>
      </w:r>
      <w:r w:rsidR="00BA1458" w:rsidRPr="006A1593">
        <w:rPr>
          <w:rFonts w:hint="eastAsia"/>
          <w:sz w:val="24"/>
          <w:szCs w:val="24"/>
          <w:lang w:val="en-US"/>
        </w:rPr>
        <w:instrText>350 mA). CTA first-pass readings for spot sign presence were independently analyzed by 2 readers. Baseline and follow-up hematoma volumes were assessed by semiautomated computer-assisted volumetric analysis. Sensitivity, specificity, posi</w:instrText>
      </w:r>
      <w:r w:rsidR="00BA1458" w:rsidRPr="006A1593">
        <w:rPr>
          <w:sz w:val="24"/>
          <w:szCs w:val="24"/>
          <w:lang w:val="en-US"/>
        </w:rPr>
        <w:instrText>tive and negative predictive values, and accuracy of spot sign in predicting hematoma expansion were calculated. RESULTS This study included 709 patients (288 and 421 in the low- and high-current groups, respectively). A higher proportion of low-current scans identified at least 1 spot sign (20.8% versus 14.7%, P = .034), but hematoma expansion frequency was similar in the 2 groups (18.4% versus 16.2%, P = .434). Sensitivity and positive and negative predictive values were not significantly different between the 2 groups. Conversely, high-current scans showed superior specificity (91% versus 84%, P = .015) and overall accuracy (84% versus 77%, P = .038). CONCLUSIONS CTA obtained at high levels of tube current showed better diagnostic accuracy for prediction of hematoma expansion by using spot sign. These findings may have implications for future studies using the CTA spot sign to predict hematoma expansion for clinical trials.","author":[{"dropping-particle":"","family":"Morotti","given":"A","non-dropping-particle":"","parse-names":false,"suffix":""},{"dropping-particle":"","family":"Romero","given":"J M","non-dropping-particle":"","parse-names":false,"suffix":""},{"dropping-particle":"","family":"Jessel","given":"M J","non-dropping-particle":"","parse-names":false,"suffix":""},{"dropping-particle":"","family":"Brouwers","given":"H B","non-dropping-particle":"","parse-names":false,"suffix":""},{"dropping-particle":"","family":"Gupta","given":"R","non-dropping-particle":"","parse-names":false,"suffix":""},{"dropping-particle":"","family":"Schwab","given":"K","non-dropping-particle":"","parse-names":false,"suffix":""},{"dropping-particle":"","family":"Vashkevich","given":"A","non-dropping-particle":"","parse-names":false,"suffix":""},{"dropping-particle":"","family":"Ayres","given":"A","non-dropping-particle":"","parse-names":false,"suffix":""},{"dropping-particle":"","family":"Anderson","given":"C D","non-dropping-particle":"","parse-names":false,"suffix":""},{"dropping-particle":"","family":"Gurol","given":"M E","non-dropping-particle":"","parse-names":false,"suffix":""},{"dropping-particle":"","family":"Viswanathan","given":"A","non-dropping-particle":"","parse-names":false,"suffix":""},{"dropping-particle":"","family":"Greenberg","given":"S M","non-dropping-particle":"","parse-names":false,"suffix":""},{"dropping-particle":"","family":"Rosand","given":"J","non-dropping-particle":"","parse-names":false,"suffix":""},{"dropping-particle":"","family":"Goldstein","given":"J N","non-dropping-particle":"","parse-names":false,"suffix":""}],"container-title":"AJNR. American journal of neuroradiology","id":"ITEM-1","issued":{"date-parts":[["2016","5","19"]]},"title":"Effect of CTA Tube Current on Spot Sign Detection and Accuracy for Prediction of Intracerebral Hemorrhage Expansion.","type":"article-journal"},"uris":["http://www.mendeley.com/documents/?uuid=7ed1be05-c999-3b91-b619-394f7ded84d2"]},{"id":"ITEM-2","itemData":{"DOI":"10.3174/ajnr.A5604","ISSN":"1936959X","author":[{"dropping-particle":"","family":"Boulouis","given":"G.","non-dropping-particle":"","parse-names":false,"suffix":""},{"dropping-particle":"","family":"Charidimou","given":"A.","non-dropping-particle":"","parse-names":false,"suffix":""},{"dropping-particle":"","family":"Morotti","given":"A.","non-dropping-particle":"","parse-names":false,"suffix":""}],"container-title":"American Journal of Neuroradiology","id":"ITEM-2","issue":"6","issued":{"date-parts":[["2018"]]},"title":"Consensus needed for noncontrast CT markers in intracerebral hemorrhage","type":"article-journal","volume":"39"},"uris":["http://www.mendeley.com/documents/?uuid=869d7fed-ff56-3cc3-8a91-d5a70bbc08c6"]}],"mendeley":{"formattedCitation":"&lt;sup&gt;63,64&lt;/sup&gt;","plainTextFormattedCitation":"63,64","previouslyFormattedCitation":"&lt;sup&gt;63,64&lt;/sup&gt;"},"properties":{"noteIndex":0},"schema":"https://github.com/citation-style-language/schema/raw/master/csl-citation.json"}</w:instrText>
      </w:r>
      <w:r w:rsidR="009134B6" w:rsidRPr="006A1593">
        <w:rPr>
          <w:sz w:val="24"/>
          <w:szCs w:val="24"/>
          <w:lang w:val="en-US"/>
        </w:rPr>
        <w:fldChar w:fldCharType="separate"/>
      </w:r>
      <w:r w:rsidR="00BA1458" w:rsidRPr="006A1593">
        <w:rPr>
          <w:noProof/>
          <w:sz w:val="24"/>
          <w:szCs w:val="24"/>
          <w:vertAlign w:val="superscript"/>
          <w:lang w:val="en-US"/>
        </w:rPr>
        <w:t>63,64</w:t>
      </w:r>
      <w:r w:rsidR="009134B6" w:rsidRPr="006A1593">
        <w:rPr>
          <w:sz w:val="24"/>
          <w:szCs w:val="24"/>
          <w:lang w:val="en-US"/>
        </w:rPr>
        <w:fldChar w:fldCharType="end"/>
      </w:r>
      <w:r w:rsidR="00F33D93" w:rsidRPr="006A1593">
        <w:rPr>
          <w:sz w:val="24"/>
          <w:szCs w:val="24"/>
          <w:lang w:val="en-US"/>
        </w:rPr>
        <w:t xml:space="preserve">, </w:t>
      </w:r>
      <w:r w:rsidRPr="006A1593">
        <w:rPr>
          <w:sz w:val="24"/>
          <w:szCs w:val="24"/>
          <w:lang w:val="en-US"/>
        </w:rPr>
        <w:t xml:space="preserve">a clear superiority of one </w:t>
      </w:r>
      <w:r w:rsidR="00C26225" w:rsidRPr="006A1593">
        <w:rPr>
          <w:sz w:val="24"/>
          <w:szCs w:val="24"/>
          <w:lang w:val="en-US"/>
        </w:rPr>
        <w:t>approach</w:t>
      </w:r>
      <w:r w:rsidRPr="006A1593">
        <w:rPr>
          <w:sz w:val="24"/>
          <w:szCs w:val="24"/>
          <w:lang w:val="en-US"/>
        </w:rPr>
        <w:t xml:space="preserve"> over the others cannot be established at this stage.</w:t>
      </w:r>
      <w:r w:rsidR="00FA23AE" w:rsidRPr="006A1593">
        <w:rPr>
          <w:sz w:val="24"/>
          <w:szCs w:val="24"/>
          <w:lang w:val="en-US"/>
        </w:rPr>
        <w:t xml:space="preserve"> NCCT markers are not supposed to completely replace the CTA spot sign </w:t>
      </w:r>
      <w:r w:rsidR="00F33D93" w:rsidRPr="006A1593">
        <w:rPr>
          <w:sz w:val="24"/>
          <w:szCs w:val="24"/>
          <w:lang w:val="en-US"/>
        </w:rPr>
        <w:t>and</w:t>
      </w:r>
      <w:r w:rsidR="00FA23AE" w:rsidRPr="006A1593">
        <w:rPr>
          <w:sz w:val="24"/>
          <w:szCs w:val="24"/>
          <w:lang w:val="en-US"/>
        </w:rPr>
        <w:t xml:space="preserve"> </w:t>
      </w:r>
      <w:r w:rsidR="00F33D93" w:rsidRPr="006A1593">
        <w:rPr>
          <w:sz w:val="24"/>
          <w:szCs w:val="24"/>
          <w:lang w:val="en-US"/>
        </w:rPr>
        <w:t>t</w:t>
      </w:r>
      <w:r w:rsidR="009F2FA5" w:rsidRPr="006A1593">
        <w:rPr>
          <w:sz w:val="24"/>
          <w:szCs w:val="24"/>
          <w:lang w:val="en-US"/>
        </w:rPr>
        <w:t>here is preliminary evidence that a combined analysis of hypodensities and spot sign provides additional yield in the stratification of HE</w:t>
      </w:r>
      <w:r w:rsidR="00413059" w:rsidRPr="006A1593">
        <w:rPr>
          <w:sz w:val="24"/>
          <w:szCs w:val="24"/>
          <w:lang w:val="en-US"/>
        </w:rPr>
        <w:fldChar w:fldCharType="begin" w:fldLock="1"/>
      </w:r>
      <w:r w:rsidR="00BA1458" w:rsidRPr="006A1593">
        <w:rPr>
          <w:sz w:val="24"/>
          <w:szCs w:val="24"/>
          <w:lang w:val="en-US"/>
        </w:rPr>
        <w:instrText>ADDIN CSL_CITATION {"citationItems":[{"id":"ITEM-1","itemData":{"DOI":"10.1161/STROKEAHA.118.022010","ISSN":"0039-2499","PMID":"30354976","abstract":"Background and Purpose- Noncontrast computed tomographic (CT) hypodensities represent an alternative to the CT angiography spot sign (SS) to predict intracerebral hemorrhage (ICH) expansion. However, previous studies suggested that these markers predicted hematoma expansion independently from each other. We investigated whether the integration of SS and hypodensity (HD) improved the stratification of ICH expansion risk. Methods- A single-center cohort of consecutive patients with ICH was retrospectively analyzed. Patients with available CT angiography, baseline, and follow-up noncontrast CT images available were included. Trained readers reviewed all the images for SS and HD presence, and the study population was classified into 4 groups: SS and HD negative (SS-HD-), SS positive only (SS+HD-), HD positive only (SS-HD+), and SS and HD positive (SS+HD+). ICH expansion was defined as hematoma growth &gt;33% or &gt;6 mL. The association between SS and HD presence and ICH expansion was investigated with multivariable logistic regression. Results- A total of 745 subjects qualified for the analysis (median age, 73 years; 54.1% men). The rates of ICH expansion were 9.3% in SS-HD-, 25.8% in SS+HD-, 27.4% in SS-HD+, and 55.6% in SS+HD+ patients ( P&lt;0.001). After adjustment for potential confounders and keeping SS-HD- subjects as reference, the risk of ICH expansion was increased in SS+HD- and SS-HD+ patients (odds ratio, 2.93, P=0.002 and odds ratio, 3.02, P&lt;0.001, respectively). SS+HD+ subjects had the highest risk of hematoma growth (odds ratio, 9.50; P&lt;0.001). Conclusions- Integration of SS and HD improves the stratification of hematoma growth risk and may help the selection of patients with ICH for antiexpansion treatment in clinical trials.","author":[{"dropping-particle":"","family":"Morotti","given":"Andrea","non-dropping-particle":"","parse-names":false,"suffix":""},{"dropping-particle":"","family":"Boulouis","given":"Gregoire","non-dropping-particle":"","parse-names":false,"suffix":""},{"dropping-particle":"","family":"Charidimou","given":"Andreas","non-dropping-particle":"","parse-names":false,"suffix":""},{"dropping-particle":"","family":"Schwab","given":"Kristin","non-dropping-particle":"","parse-names":false,"suffix":""},{"dropping-particle":"","family":"Kourkoulis","given":"Christina","non-dropping-particle":"","parse-names":false,"suffix":""},{"dropping-particle":"","family":"Anderson","given":"Christopher D.","non-dropping-particle":"","parse-names":false,"suffix":""},{"dropping-particle":"","family":"Gurol","given":"M. Edip","non-dropping-particle":"","parse-names":false,"suffix":""},{"dropping-particle":"","family":"Viswanathan","given":"Anand","non-dropping-particle":"","parse-names":false,"suffix":""},{"dropping-particle":"","family":"Romero","given":"Javier M.","non-dropping-particle":"","parse-names":false,"suffix":""},{"dropping-particle":"","family":"Greenberg","given":"Steven M.","non-dropping-particle":"","parse-names":false,"suffix":""},{"dropping-particle":"","family":"Rosand","given":"Jonathan","non-dropping-particle":"","parse-names":false,"suffix":""},{"dropping-particle":"","family":"Goldstein","given":"Joshua N.","non-dropping-particle":"","parse-names":false,"suffix":""}],"container-title":"Stroke","id":"ITEM-1","issue":"9","issued":{"date-parts":[["2018","9"]]},"page":"2067-2073","title":"Integration of Computed Tomographic Angiography Spot Sign and Noncontrast Computed Tomographic Hypodensities to Predict Hematoma Expansion","type":"article-journal","volume":"49"},"uris":["http://www.mendeley.com/documents/?uuid=c8b6b795-8a39-3ed8-8dfb-815b1bac8e69"]}],"mendeley":{"formattedCitation":"&lt;sup&gt;54&lt;/sup&gt;","plainTextFormattedCitation":"54","previouslyFormattedCitation":"&lt;sup&gt;54&lt;/sup&gt;"},"properties":{"noteIndex":0},"schema":"https://github.com/citation-style-language/schema/raw/master/csl-citation.json"}</w:instrText>
      </w:r>
      <w:r w:rsidR="00413059" w:rsidRPr="006A1593">
        <w:rPr>
          <w:sz w:val="24"/>
          <w:szCs w:val="24"/>
          <w:lang w:val="en-US"/>
        </w:rPr>
        <w:fldChar w:fldCharType="separate"/>
      </w:r>
      <w:r w:rsidR="00BA1458" w:rsidRPr="006A1593">
        <w:rPr>
          <w:noProof/>
          <w:sz w:val="24"/>
          <w:szCs w:val="24"/>
          <w:vertAlign w:val="superscript"/>
          <w:lang w:val="en-US"/>
        </w:rPr>
        <w:t>54</w:t>
      </w:r>
      <w:r w:rsidR="00413059" w:rsidRPr="006A1593">
        <w:rPr>
          <w:sz w:val="24"/>
          <w:szCs w:val="24"/>
          <w:lang w:val="en-US"/>
        </w:rPr>
        <w:fldChar w:fldCharType="end"/>
      </w:r>
      <w:r w:rsidR="00F33D93" w:rsidRPr="006A1593">
        <w:rPr>
          <w:sz w:val="24"/>
          <w:szCs w:val="24"/>
          <w:lang w:val="en-US"/>
        </w:rPr>
        <w:t xml:space="preserve">. </w:t>
      </w:r>
      <w:r w:rsidRPr="006A1593">
        <w:rPr>
          <w:sz w:val="24"/>
          <w:szCs w:val="24"/>
          <w:lang w:val="en-US"/>
        </w:rPr>
        <w:t xml:space="preserve">Further studies are needed to 1) compare the diagnostic performance of NCCT markers and spot sign and 2) explore whether the integration of these radiological markers improves the discriminative ability of the currently available models to predict </w:t>
      </w:r>
      <w:r w:rsidR="00932EB9" w:rsidRPr="006A1593">
        <w:rPr>
          <w:sz w:val="24"/>
          <w:szCs w:val="24"/>
          <w:lang w:val="en-US"/>
        </w:rPr>
        <w:t>HE</w:t>
      </w:r>
      <w:r w:rsidR="00AE798C" w:rsidRPr="006A1593">
        <w:rPr>
          <w:sz w:val="24"/>
          <w:szCs w:val="24"/>
          <w:lang w:val="en-US"/>
        </w:rPr>
        <w:t>.</w:t>
      </w:r>
      <w:r w:rsidR="009134B6" w:rsidRPr="006A1593">
        <w:rPr>
          <w:sz w:val="24"/>
          <w:szCs w:val="24"/>
          <w:lang w:val="en-US"/>
        </w:rPr>
        <w:fldChar w:fldCharType="begin" w:fldLock="1"/>
      </w:r>
      <w:r w:rsidR="00A744D0" w:rsidRPr="006A1593">
        <w:rPr>
          <w:sz w:val="24"/>
          <w:szCs w:val="24"/>
          <w:lang w:val="en-US"/>
        </w:rPr>
        <w:instrText>ADDIN CSL_CITATION {"citationItems":[{"id":"ITEM-1","itemData":{"DOI":"10.1016/S1474-4422(18)30253-9","ISSN":"14744422","PMID":"30120039","abstract":"BACKGROUND Intracerebral haemorrhage growth is associated with poor clinical outcome and is a therapeutic target for improving outcome. We aimed to determine the absolute risk and predictors of intracerebral haemorrhage growth, develop and validate prediction models, and evaluate the added value of CT angiography. METHODS In a systematic review of OVID MEDLINE-with additional hand-searching of relevant studies' bibliographies- from Jan 1, 1970, to Dec 31, 2015, we identified observational cohorts and randomised trials with repeat scanning protocols that included at least ten patients with acute intracerebral haemorrhage. We sought individual patient-level data from corresponding authors for patients aged 18 years or older with data available from brain imaging initially done 0·5-24 h and repeated fewer than 6 days after symptom onset, who had baseline intracerebral haemorrhage volume of less than 150 mL, and did not undergo acute treatment that might reduce intracerebral haemorrhage volume. We estimated the absolute risk and predictors of the primary outcome of intracerebral haemorrhage growth (defined as &gt;6 mL increase in intracerebral haemorrhage volume on repeat imaging) using multivariable logistic regression models in development and validation cohorts in four subgroups of patients, using a hierarchical approach: patients not taking anticoagulant therapy at intracerebral haemorrhage onset (who constituted the largest subgroup), patients taking anticoagulant therapy at intracerebral haemorrhage onset, patients from cohorts that included at least some patients taking anticoagulant therapy at intracerebral haemorrhage onset, and patients for whom both information about anticoagulant therapy at intracerebral haemorrhage onset and spot sign on acute CT angiography were known. FINDINGS Of 4191 studies identified, 77 were eligible for inclusion. Overall, 36 (47%) cohorts provided data on 5435 eligible patients. 5076 of these patients were not taking anticoagulant therapy at symptom onset (median age 67 years, IQR 56-76), of whom 1009 (20%) had intracerebral haemorrhage growth. Multivariable models of patients with data on antiplatelet therapy use, data on anticoagulant therapy use, and assessment of CT angiography spot sign at symptom onset showed that time from symptom onset to baseline imaging (odds ratio 0·50, 95% CI 0·36-0·70; p&lt;0·0001), intracerebral haemorrhage volume on baseline imaging (7·18, 4·46-11·60; p&lt;0·0001), antiplatelet use (1·68, 1·06-2·6…","author":[{"dropping-particle":"","family":"Al-Shahi Salman","given":"Rustam","non-dropping-particle":"","parse-names":false,"suffix":""},{"dropping-particle":"","family":"Frantzias","given":"Joseph","non-dropping-particle":"","parse-names":false,"suffix":""},{"dropping-particle":"","family":"Lee","given":"Robert J","non-dropping-particle":"","parse-names":false,"suffix":""},{"dropping-particle":"","family":"Lyden","given":"Patrick D","non-dropping-particle":"","parse-names":false,"suffix":""},{"dropping-particle":"","family":"Battey","given":"Thomas W K","non-dropping-particle":"","parse-names":false,"suffix":""},{"dropping-particle":"","family":"Ayres","given":"Alison M","non-dropping-particle":"","parse-names":false,"suffix":""},{"dropping-particle":"","family":"Goldstein","given":"Joshua N","non-dropping-particle":"","parse-names":false,"suffix":""},{"dropping-particle":"","family":"Mayer","given":"Stephan A","non-dropping-particle":"","parse-names":false,"suffix":""},{"dropping-particle":"","family":"Steiner","given":"Thorsten","non-dropping-particle":"","parse-names":false,"suffix":""},{"dropping-particle":"","family":"Wang","given":"Xia","non-dropping-particle":"","parse-names":false,"suffix":""},{"dropping-particle":"","family":"Arima","given":"Hisatomi","non-dropping-particle":"","parse-names":false,"suffix":""},{"dropping-particle":"","family":"Hasegawa","given":"Hitoshi","non-dropping-particle":"","parse-names":false,"suffix":""},{"dropping-particle":"","family":"Oishi","given":"Makoto","non-dropping-particle":"","parse-names":false,"suffix":""},{"dropping-particle":"","family":"Godoy","given":"Daniel A","non-dropping-particle":"","parse-names":false,"suffix":""},{"dropping-particle":"","family":"Masotti","given":"Luca","non-dropping-particle":"","parse-names":false,"suffix":""},{"dropping-particle":"","family":"Dowlatshahi","given":"Dar","non-dropping-particle":"","parse-names":false,"suffix":""},{"dropping-particle":"","family":"Rodriguez-Luna","given":"David","non-dropping-particle":"","parse-names":false,"suffix":""},{"dropping-particle":"","family":"Molina","given":"Carlos A","non-dropping-particle":"","parse-names":false,"suffix":""},{"dropping-particle":"","family":"Jang","given":"Dong-Kyu","non-dropping-particle":"","parse-names":false,"suffix":""},{"dropping-particle":"","family":"Davalos","given":"Antonio","non-dropping-particle":"","parse-names":false,"suffix":""},{"dropping-particle":"","family":"Castillo","given":"José","non-dropping-particle":"","parse-names":false,"suffix":""},{"dropping-particle":"","family":"Yao","given":"Xiaoying","non-dropping-particle":"","parse-names":false,"suffix":""},{"dropping-particle":"","family":"Claassen","given":"Jan","non-dropping-particle":"","parse-names":false,"suffix":""},{"dropping-particle":"","family":"Volbers","given":"Bastian","non-dropping-particle":"","parse-names":false,"suffix":""},{"dropping-particle":"","family":"Kazui","given":"Seiji","non-dropping-particle":"","parse-names":false,"suffix":""},{"dropping-particle":"","family":"Okada","given":"Yasushi","non-dropping-particle":"","parse-names":false,"suffix":""},{"dropping-particle":"","family":"Fujimoto","given":"Shigeru","non-dropping-particle":"","parse-names":false,"suffix":""},{"dropping-particle":"","family":"Toyoda","given":"Kazunori","non-dropping-particle":"","parse-names":false,"suffix":""},{"dropping-particle":"","family":"Li","given":"Qi","non-dropping-particle":"","parse-names":false,"suffix":""},{"dropping-particle":"","family":"Khoury","given":"Jane","non-dropping-particle":"","parse-names":false,"suffix":""},{"dropping-particle":"","family":"Delgado","given":"Pilar","non-dropping-particle":"","parse-names":false,"suffix":""},{"dropping-particle":"","family":"Sabín","given":"José Álvarez","non-dropping-particle":"","parse-names":false,"suffix":""},{"dropping-particle":"","family":"Hernández-Guillamon","given":"Mar","non-dropping-particle":"","parse-names":false,"suffix":""},{"dropping-particle":"","family":"Prats-Sánchez","given":"Luis","non-dropping-particle":"","parse-names":false,"suffix":""},{"dropping-particle":"","family":"Cai","given":"Chunyan","non-dropping-particle":"","parse-names":false,"suffix":""},{"dropping-particle":"","family":"Kate","given":"Mahesh P","non-dropping-particle":"","parse-names":false,"suffix":""},{"dropping-particle":"","family":"McCourt","given":"Rebecca","non-dropping-particle":"","parse-names":false,"suffix":""},{"dropping-particle":"","family":"Venkatasubramanian","given":"Chitra","non-dropping-particle":"","parse-names":false,"suffix":""},{"dropping-particle":"","family":"Diringer","given":"Michael N","non-dropping-particle":"","parse-names":false,"suffix":""},{"dropping-particle":"","family":"Ikeda","given":"Yukio","non-dropping-particle":"","parse-names":false,"suffix":""},{"dropping-particle":"","family":"Worthmann","given":"Hans","non-dropping-particle":"","parse-names":false,"suffix":""},{"dropping-particle":"","family":"Ziai","given":"Wendy C","non-dropping-particle":"","parse-names":false,"suffix":""},{"dropping-particle":"","family":"d'Esterre","given":"Christopher D","non-dropping-particle":"","parse-names":false,"suffix":""},{"dropping-particle":"","family":"Aviv","given":"Richard I","non-dropping-particle":"","parse-names":false,"suffix":""},{"dropping-particle":"","family":"Raab","given":"Peter","non-dropping-particle":"","parse-names":false,"suffix":""},{"dropping-particle":"","family":"Murai","given":"Yasuo","non-dropping-particle":"","parse-names":false,"suffix":""},{"dropping-particle":"","family":"Zazulia","given":"Allyson R","non-dropping-particle":"","parse-names":false,"suffix":""},{"dropping-particle":"","family":"Butcher","given":"Kenneth S","non-dropping-particle":"","parse-names":false,"suffix":""},{"dropping-particle":"","family":"Seyedsaadat","given":"Seyed Mohammad","non-dropping-particle":"","parse-names":false,"suffix":""},{"dropping-particle":"","family":"Grotta","given":"James C","non-dropping-particle":"","parse-names":false,"suffix":""},{"dropping-particle":"","family":"Martí-Fàbregas","given":"Joan","non-dropping-particle":"","parse-names":false,"suffix":""},{"dropping-particle":"","family":"Montaner","given":"Joan","non-dropping-particle":"","parse-names":false,"suffix":""},{"dropping-particle":"","family":"Broderick","given":"Joseph","non-dropping-particle":"","parse-names":false,"suffix":""},{"dropping-particle":"","family":"Yamamoto","given":"Haruko","non-dropping-particle":"","parse-names":false,"suffix":""},{"dropping-particle":"","family":"Staykov","given":"Dimitre","non-dropping-particle":"","parse-names":false,"suffix":""},{"dropping-particle":"","family":"Connolly","given":"E Sander","non-dropping-particle":"","parse-names":false,"suffix":""},{"dropping-particle":"","family":"Selim","given":"Magdy","non-dropping-particle":"","parse-names":false,"suffix":""},{"dropping-particle":"","family":"Leira","given":"Rogelio","non-dropping-particle":"","parse-names":false,"suffix":""},{"dropping-particle":"","family":"Moon","given":"Byung Hoo","non-dropping-particle":"","parse-names":false,"suffix":""},{"dropping-particle":"","family":"Demchuk","given":"Andrew M","non-dropping-particle":"","parse-names":false,"suffix":""},{"dropping-particle":"","family":"Napoli","given":"Mario","non-dropping-particle":"Di","parse-names":false,"suffix":""},{"dropping-particle":"","family":"Fujii","given":"Yukihiko","non-dropping-particle":"","parse-names":false,"suffix":""},{"dropping-particle":"","family":"Anderson","given":"Craig S","non-dropping-particle":"","parse-names":false,"suffix":""},{"dropping-particle":"","family":"Rosand","given":"Jonathan","non-dropping-particle":"","parse-names":false,"suffix":""},{"dropping-particle":"","family":"Hanley","given":"Daniel F","non-dropping-particle":"","parse-names":false,"suffix":""},{"dropping-particle":"","family":"Butcher","given":"Kenneth S","non-dropping-particle":"","parse-names":false,"suffix":""},{"dropping-particle":"","family":"Davis","given":"Stephen","non-dropping-particle":"","parse-names":false,"suffix":""},{"dropping-particle":"","family":"Gregson","given":"Barbara","non-dropping-particle":"","parse-names":false,"suffix":""},{"dropping-particle":"","family":"Lees","given":"Kennedy R","non-dropping-particle":"","parse-names":false,"suffix":""},{"dropping-particle":"","family":"Lyden","given":"Patrick D","non-dropping-particle":"","parse-names":false,"suffix":""},{"dropping-particle":"","family":"Mayer","given":"Stephan A","non-dropping-particle":"","parse-names":false,"suffix":""},{"dropping-particle":"","family":"Muir","given":"Keith W","non-dropping-particle":"","parse-names":false,"suffix":""},{"dropping-particle":"","family":"Steiner","given":"Thorsten","non-dropping-particle":"","parse-names":false,"suffix":""},{"dropping-particle":"","family":"Xie","given":"Peng","non-dropping-particle":"","parse-names":false,"suffix":""},{"dropping-particle":"","family":"Bakhshayesh","given":"Babak","non-dropping-particle":"","parse-names":false,"suffix":""},{"dropping-particle":"","family":"McDonald","given":"Mark","non-dropping-particle":"","parse-names":false,"suffix":""},{"dropping-particle":"","family":"Brott","given":"Thomas","non-dropping-particle":"","parse-names":false,"suffix":""},{"dropping-particle":"","family":"Pennati","given":"Paolo","non-dropping-particle":"","parse-names":false,"suffix":""},{"dropping-particle":"","family":"Parry-Jones","given":"Adrian R","non-dropping-particle":"","parse-names":false,"suffix":""},{"dropping-particle":"","family":"Smith","given":"Craig J","non-dropping-particle":"","parse-names":false,"suffix":""},{"dropping-particle":"","family":"Hopkins","given":"Stephen J","non-dropping-particle":"","parse-names":false,"suffix":""},{"dropping-particle":"","family":"Slevin","given":"Mark","non-dropping-particle":"","parse-names":false,"suffix":""},{"dropping-particle":"","family":"Campi","given":"Veronica","non-dropping-particle":"","parse-names":false,"suffix":""},{"dropping-particle":"","family":"Singh","given":"Puneetpal","non-dropping-particle":"","parse-names":false,"suffix":""},{"dropping-particle":"","family":"Papa","given":"Francesca","non-dropping-particle":"","parse-names":false,"suffix":""},{"dropping-particle":"","family":"Popa-Wagner","given":"Aurel","non-dropping-particle":"","parse-names":false,"suffix":""},{"dropping-particle":"","family":"Tudorica","given":"Valeria","non-dropping-particle":"","parse-names":false,"suffix":""},{"dropping-particle":"","family":"Takagi","given":"Ryo","non-dropping-particle":"","parse-names":false,"suffix":""},{"dropping-particle":"","family":"Teramoto","given":"Akira","non-dropping-particle":"","parse-names":false,"suffix":""},{"dropping-particle":"","family":"Weissenborn","given":"Karin","non-dropping-particle":"","parse-names":false,"suffix":""},{"dropping-particle":"","family":"Lanfermann","given":"Heinrich","non-dropping-particle":"","parse-names":false,"suffix":""}],"container-title":"The Lancet Neurology","id":"ITEM-1","issue":"10","issued":{"date-parts":[["2018","10","14"]]},"page":"885-894","title":"Absolute risk and predictors of the growth of acute spontaneous intracerebral haemorrhage: a systematic review and meta-analysis of individual patient data","type":"article-journal","volume":"17"},"uris":["http://www.mendeley.com/documents/?uuid=07829d4f-e1a6-366d-a1ea-d85bb697211d"]}],"mendeley":{"formattedCitation":"&lt;sup&gt;12&lt;/sup&gt;","plainTextFormattedCitation":"12","previouslyFormattedCitation":"&lt;sup&gt;12&lt;/sup&gt;"},"properties":{"noteIndex":0},"schema":"https://github.com/citation-style-language/schema/raw/master/csl-citation.json"}</w:instrText>
      </w:r>
      <w:r w:rsidR="009134B6" w:rsidRPr="006A1593">
        <w:rPr>
          <w:sz w:val="24"/>
          <w:szCs w:val="24"/>
          <w:lang w:val="en-US"/>
        </w:rPr>
        <w:fldChar w:fldCharType="separate"/>
      </w:r>
      <w:r w:rsidR="00A744D0" w:rsidRPr="006A1593">
        <w:rPr>
          <w:noProof/>
          <w:sz w:val="24"/>
          <w:szCs w:val="24"/>
          <w:vertAlign w:val="superscript"/>
          <w:lang w:val="en-US"/>
        </w:rPr>
        <w:t>12</w:t>
      </w:r>
      <w:r w:rsidR="009134B6" w:rsidRPr="006A1593">
        <w:rPr>
          <w:sz w:val="24"/>
          <w:szCs w:val="24"/>
          <w:lang w:val="en-US"/>
        </w:rPr>
        <w:fldChar w:fldCharType="end"/>
      </w:r>
    </w:p>
    <w:p w:rsidR="00460669" w:rsidRPr="006A1593" w:rsidRDefault="00460669">
      <w:pPr>
        <w:pStyle w:val="Heading2"/>
        <w:rPr>
          <w:rFonts w:ascii="Times New Roman" w:hAnsi="Times New Roman"/>
          <w:sz w:val="24"/>
          <w:szCs w:val="24"/>
          <w:u w:val="none"/>
          <w:lang w:val="en-US"/>
        </w:rPr>
      </w:pPr>
      <w:r w:rsidRPr="006A1593">
        <w:rPr>
          <w:rFonts w:ascii="Times New Roman" w:hAnsi="Times New Roman"/>
          <w:sz w:val="24"/>
          <w:szCs w:val="24"/>
          <w:u w:val="none"/>
          <w:lang w:val="en-US"/>
        </w:rPr>
        <w:t>Implications for clinical practice and future trials</w:t>
      </w:r>
    </w:p>
    <w:p w:rsidR="00460669" w:rsidRPr="006A1593" w:rsidRDefault="00460669">
      <w:pPr>
        <w:rPr>
          <w:b/>
          <w:sz w:val="24"/>
          <w:szCs w:val="24"/>
          <w:lang w:val="en-US"/>
        </w:rPr>
      </w:pPr>
      <w:r w:rsidRPr="006A1593">
        <w:rPr>
          <w:sz w:val="24"/>
          <w:szCs w:val="24"/>
          <w:lang w:val="en-US"/>
        </w:rPr>
        <w:t>NCCT is a reliable and widely available alternative to CTA for</w:t>
      </w:r>
      <w:r w:rsidR="00416A5A" w:rsidRPr="006A1593">
        <w:rPr>
          <w:sz w:val="24"/>
          <w:szCs w:val="24"/>
          <w:lang w:val="en-US"/>
        </w:rPr>
        <w:t xml:space="preserve"> HE risk </w:t>
      </w:r>
      <w:r w:rsidRPr="006A1593">
        <w:rPr>
          <w:sz w:val="24"/>
          <w:szCs w:val="24"/>
          <w:lang w:val="en-US"/>
        </w:rPr>
        <w:t>stratification</w:t>
      </w:r>
      <w:r w:rsidR="00072865" w:rsidRPr="006A1593">
        <w:rPr>
          <w:sz w:val="24"/>
          <w:szCs w:val="24"/>
          <w:lang w:val="en-US"/>
        </w:rPr>
        <w:fldChar w:fldCharType="begin" w:fldLock="1"/>
      </w:r>
      <w:r w:rsidR="00BA1458" w:rsidRPr="006A1593">
        <w:rPr>
          <w:sz w:val="24"/>
          <w:szCs w:val="24"/>
          <w:lang w:val="en-US"/>
        </w:rPr>
        <w:instrText>ADDIN CSL_CITATION {"citationItems":[{"id":"ITEM-1","itemData":{"DOI":"10.1161/STROKEAHA.118.024050","ISSN":"0039-2499","PMID":"30909839","abstract":"Background and Purpose- Early hematoma expansion after intracerebral hemorrhage is a potentially modifiable predictor of outcome and a promising therapeutic target. Radiological markers seen on noncontrast computed tomography can help predict hematoma expansion and risk stratify patients presenting with intracerebral hemorrhage. Our objective was to assess the interrater and intrarater reliability of 5 commonly reported noncontrast computed tomographic markers of hematoma expansion. Methods- Four readers independently reviewed images from 40 patients from 2 intracerebral hemorrhage imaging databases (PREDICT Collaboration [Predicting Haematoma Growth and Outcome in Intracerebral Haemorrhage Using Contrast Bolus CT] and Massachusetts General Hospital). Readers were blind to all demographic and outcome data and used accepted definitions to establish the presence or absence of intrahematoma hypodensities, blend sign, fluid level, irregular hematoma morphology, and heterogeneous hematoma density. We calculated interrater and intrarater agreement and stratified kappas for the 5 imaging markers. Results- Interrater agreement was excellent for all 5 markers, ranging from 94% to 98%. Interrater kappas ranged from 0.67 to 0.91 (the lowest for fluid level). Interrater agreement had a similar pattern, ranging from 89% to 93%, with Kappas ranging from 0.60 to 0.89. Conclusions- We show that 5 commonly used noncontrast computed tomographic imaging findings all have good-to-excellent interrater and intrarater reliabilities, with the best kappa for blend sign, hypodensities, and heterogeneity.","author":[{"dropping-particle":"","family":"Dowlatshahi","given":"Dar","non-dropping-particle":"","parse-names":false,"suffix":""},{"dropping-particle":"","family":"Morotti","given":"Andrea","non-dropping-particle":"","parse-names":false,"suffix":""},{"dropping-particle":"","family":"Al-Ajlan","given":"Fahad S.","non-dropping-particle":"","parse-names":false,"suffix":""},{"dropping-particle":"","family":"Boulouis","given":"Gregoire","non-dropping-particle":"","parse-names":false,"suffix":""},{"dropping-particle":"","family":"Warren","given":"Andrew D.","non-dropping-particle":"","parse-names":false,"suffix":""},{"dropping-particle":"","family":"Petrcich","given":"William","non-dropping-particle":"","parse-names":false,"suffix":""},{"dropping-particle":"","family":"Aviv","given":"Richard I.","non-dropping-particle":"","parse-names":false,"suffix":""},{"dropping-particle":"","family":"Demchuk","given":"Andrew M.","non-dropping-particle":"","parse-names":false,"suffix":""},{"dropping-particle":"","family":"Goldstein","given":"Joshua N.","non-dropping-particle":"","parse-names":false,"suffix":""}],"container-title":"Stroke","id":"ITEM-1","issue":"5","issued":{"date-parts":[["2019","5"]]},"page":"1260-1262","title":"Interrater and Intrarater Measurement Reliability of Noncontrast Computed Tomography Predictors of Intracerebral Hemorrhage Expansion","type":"article-journal","volume":"50"},"uris":["http://www.mendeley.com/documents/?uuid=2236e68d-39c7-3000-9938-0d7660467b0b"]}],"mendeley":{"formattedCitation":"&lt;sup&gt;65&lt;/sup&gt;","plainTextFormattedCitation":"65","previouslyFormattedCitation":"&lt;sup&gt;65&lt;/sup&gt;"},"properties":{"noteIndex":0},"schema":"https://github.com/citation-style-language/schema/raw/master/csl-citation.json"}</w:instrText>
      </w:r>
      <w:r w:rsidR="00072865" w:rsidRPr="006A1593">
        <w:rPr>
          <w:sz w:val="24"/>
          <w:szCs w:val="24"/>
          <w:lang w:val="en-US"/>
        </w:rPr>
        <w:fldChar w:fldCharType="separate"/>
      </w:r>
      <w:r w:rsidR="00BA1458" w:rsidRPr="006A1593">
        <w:rPr>
          <w:noProof/>
          <w:sz w:val="24"/>
          <w:szCs w:val="24"/>
          <w:vertAlign w:val="superscript"/>
          <w:lang w:val="en-US"/>
        </w:rPr>
        <w:t>65</w:t>
      </w:r>
      <w:r w:rsidR="00072865" w:rsidRPr="006A1593">
        <w:rPr>
          <w:sz w:val="24"/>
          <w:szCs w:val="24"/>
          <w:lang w:val="en-US"/>
        </w:rPr>
        <w:fldChar w:fldCharType="end"/>
      </w:r>
      <w:r w:rsidRPr="006A1593">
        <w:rPr>
          <w:sz w:val="24"/>
          <w:szCs w:val="24"/>
          <w:lang w:val="en-US"/>
        </w:rPr>
        <w:t xml:space="preserve">. Subjects with NCCT markers of </w:t>
      </w:r>
      <w:r w:rsidR="00932EB9" w:rsidRPr="006A1593">
        <w:rPr>
          <w:sz w:val="24"/>
          <w:szCs w:val="24"/>
          <w:lang w:val="en-US"/>
        </w:rPr>
        <w:t>HE</w:t>
      </w:r>
      <w:r w:rsidRPr="006A1593">
        <w:rPr>
          <w:sz w:val="24"/>
          <w:szCs w:val="24"/>
          <w:lang w:val="en-US"/>
        </w:rPr>
        <w:t xml:space="preserve"> </w:t>
      </w:r>
      <w:proofErr w:type="gramStart"/>
      <w:r w:rsidRPr="006A1593">
        <w:rPr>
          <w:sz w:val="24"/>
          <w:szCs w:val="24"/>
          <w:lang w:val="en-US"/>
        </w:rPr>
        <w:t>are</w:t>
      </w:r>
      <w:proofErr w:type="gramEnd"/>
      <w:r w:rsidRPr="006A1593">
        <w:rPr>
          <w:sz w:val="24"/>
          <w:szCs w:val="24"/>
          <w:lang w:val="en-US"/>
        </w:rPr>
        <w:t xml:space="preserve"> more likely to experience clinical deterioration and therefore closer neurological monitoring may be warranted. </w:t>
      </w:r>
      <w:r w:rsidR="00416A5A" w:rsidRPr="006A1593">
        <w:rPr>
          <w:sz w:val="24"/>
          <w:szCs w:val="24"/>
          <w:lang w:val="en-US"/>
        </w:rPr>
        <w:t>T</w:t>
      </w:r>
      <w:r w:rsidRPr="006A1593">
        <w:rPr>
          <w:sz w:val="24"/>
          <w:szCs w:val="24"/>
          <w:lang w:val="en-US"/>
        </w:rPr>
        <w:t>he lack of these NCCT signs may</w:t>
      </w:r>
      <w:r w:rsidR="00416A5A" w:rsidRPr="006A1593">
        <w:rPr>
          <w:sz w:val="24"/>
          <w:szCs w:val="24"/>
          <w:lang w:val="en-US"/>
        </w:rPr>
        <w:t xml:space="preserve"> thus</w:t>
      </w:r>
      <w:r w:rsidRPr="006A1593">
        <w:rPr>
          <w:sz w:val="24"/>
          <w:szCs w:val="24"/>
          <w:lang w:val="en-US"/>
        </w:rPr>
        <w:t xml:space="preserve"> identify patients at low</w:t>
      </w:r>
      <w:r w:rsidR="00416A5A" w:rsidRPr="006A1593">
        <w:rPr>
          <w:sz w:val="24"/>
          <w:szCs w:val="24"/>
          <w:lang w:val="en-US"/>
        </w:rPr>
        <w:t>er</w:t>
      </w:r>
      <w:r w:rsidRPr="006A1593">
        <w:rPr>
          <w:sz w:val="24"/>
          <w:szCs w:val="24"/>
          <w:lang w:val="en-US"/>
        </w:rPr>
        <w:t xml:space="preserve"> risk of unfavorable clinical evolution</w:t>
      </w:r>
      <w:r w:rsidR="00416A5A" w:rsidRPr="006A1593">
        <w:rPr>
          <w:sz w:val="24"/>
          <w:szCs w:val="24"/>
          <w:lang w:val="en-US"/>
        </w:rPr>
        <w:t xml:space="preserve">, being </w:t>
      </w:r>
      <w:r w:rsidRPr="006A1593">
        <w:rPr>
          <w:sz w:val="24"/>
          <w:szCs w:val="24"/>
          <w:lang w:val="en-US"/>
        </w:rPr>
        <w:t xml:space="preserve">more suitable for admission to general neurology wards, especially in settings with limited intensive care resources. </w:t>
      </w:r>
      <w:r w:rsidR="00A15825" w:rsidRPr="006A1593">
        <w:rPr>
          <w:sz w:val="24"/>
          <w:szCs w:val="24"/>
          <w:lang w:val="en-US"/>
        </w:rPr>
        <w:t>Of note, CTA is a good screening tool for detection of vascular malformations in clinical practice and therefore ICH patients may receive iodine contrast to rule out a secondary cause of the bleeding</w:t>
      </w:r>
      <w:r w:rsidR="00087256" w:rsidRPr="006A1593">
        <w:rPr>
          <w:sz w:val="24"/>
          <w:szCs w:val="24"/>
          <w:lang w:val="en-US"/>
        </w:rPr>
        <w:fldChar w:fldCharType="begin" w:fldLock="1"/>
      </w:r>
      <w:r w:rsidR="00BA1458" w:rsidRPr="006A1593">
        <w:rPr>
          <w:sz w:val="24"/>
          <w:szCs w:val="24"/>
          <w:lang w:val="en-US"/>
        </w:rPr>
        <w:instrText>ADDIN CSL_CITATION {"citationItems":[{"id":"ITEM-1","itemData":{"DOI":"10.1136/jnnp-2017-317262","ISSN":"0022-3050","PMID":"29348301","abstract":"OBJECTIVE A substantial part of non-traumatic intracerebral haemorrhages (ICH) arises from a macrovascular cause, but there is little guidance on selection of patients for additional diagnostic work-up. We aimed to develop and externally validate a model for predicting the probability of a macrovascular cause in patients with non-traumatic ICH. METHODS The DIagnostic AngioGRAphy to find vascular Malformations (DIAGRAM) study (n=298; 69 macrovascular cause; 23%) is a prospective, multicentre study assessing yield and accuracy of CT angiography (CTA), MRI/ magnetic resonance angiography (MRA) and intra-arterial catheter angiography in diagnosing macrovascular causes in patients with non-traumatic ICH. We considered prespecified patient and ICH characteristics in multivariable logistic regression analyses as predictors for a macrovascular cause. We combined independent predictors in a model, which we validated in an external cohort of 173 patients with ICH (78 macrovascular cause, 45%). RESULTS Independent predictors were younger age, lobar or posterior fossa (vs deep) location of ICH, and absence of small vessel disease (SVD). A model that combined these predictors showed good performance in the development data (c-statistic 0.83; 95% CI 0.78 to 0.88) and moderate performance in external validation (c-statistic 0.66; 95% CI 0.58 to 0.74). When CTA results were added, the c-statistic was excellent (0.91; 95% CI 0.88 to 0.94) and good after external validation (0.88; 95% CI 0.83 to 0.94). Predicted probabilities varied from 1% in patients aged 51-70 years with deep ICH and SVD, to more than 50% in patients aged 18-50 years with lobar or posterior fossa ICH without SVD. CONCLUSION The DIAGRAM scores help to predict the probability of a macrovascular cause in patients with non-traumatic ICH based on age, ICH location, SVD and CTA.","author":[{"dropping-particle":"","family":"Hilkens","given":"Nina A","non-dropping-particle":"","parse-names":false,"suffix":""},{"dropping-particle":"","family":"Asch","given":"Charlotte J J","non-dropping-particle":"van","parse-names":false,"suffix":""},{"dropping-particle":"","family":"Werring","given":"David J","non-dropping-particle":"","parse-names":false,"suffix":""},{"dropping-particle":"","family":"Wilson","given":"Duncan","non-dropping-particle":"","parse-names":false,"suffix":""},{"dropping-particle":"","family":"Rinkel","given":"Gabriël J E","non-dropping-particle":"","parse-names":false,"suffix":""},{"dropping-particle":"","family":"Algra","given":"Ale","non-dropping-particle":"","parse-names":false,"suffix":""},{"dropping-particle":"","family":"Velthuis","given":"Birgitta K","non-dropping-particle":"","parse-names":false,"suffix":""},{"dropping-particle":"","family":"Kort","given":"Gérard A P","non-dropping-particle":"de","parse-names":false,"suffix":""},{"dropping-particle":"","family":"Witkamp","given":"Theo D","non-dropping-particle":"","parse-names":false,"suffix":""},{"dropping-particle":"","family":"Nieuwenhuizen","given":"Koen M","non-dropping-particle":"van","parse-names":false,"suffix":""},{"dropping-particle":"","family":"Leeuw","given":"Frank-Erik","non-dropping-particle":"de","parse-names":false,"suffix":""},{"dropping-particle":"","family":"Schonewille","given":"Wouter J","non-dropping-particle":"","parse-names":false,"suffix":""},{"dropping-particle":"","family":"Kort","given":"Paul L M","non-dropping-particle":"de","parse-names":false,"suffix":""},{"dropping-particle":"","family":"Dippel","given":"Diederik W J","non-dropping-particle":"","parse-names":false,"suffix":""},{"dropping-particle":"","family":"Raaymakers","given":"Theodora W M","non-dropping-particle":"","parse-names":false,"suffix":""},{"dropping-particle":"","family":"Hofmeijer","given":"Jeannette","non-dropping-particle":"","parse-names":false,"suffix":""},{"dropping-particle":"","family":"Wermer","given":"Marieke J H","non-dropping-particle":"","parse-names":false,"suffix":""},{"dropping-particle":"","family":"Kerkhoff","given":"Henk","non-dropping-particle":"","parse-names":false,"suffix":""},{"dropping-particle":"","family":"Jellema","given":"Korné","non-dropping-particle":"","parse-names":false,"suffix":""},{"dropping-particle":"","family":"Bronner","given":"Irene M","non-dropping-particle":"","parse-names":false,"suffix":""},{"dropping-particle":"","family":"Remmers","given":"Michel J M","non-dropping-particle":"","parse-names":false,"suffix":""},{"dropping-particle":"","family":"Bienfait","given":"Henri Paul","non-dropping-particle":"","parse-names":false,"suffix":""},{"dropping-particle":"","family":"Witjes","given":"Ron J G M","non-dropping-particle":"","parse-names":false,"suffix":""},{"dropping-particle":"","family":"Jäger","given":"H Rolf","non-dropping-particle":"","parse-names":false,"suffix":""},{"dropping-particle":"","family":"Greving","given":"Jacoba P","non-dropping-particle":"","parse-names":false,"suffix":""},{"dropping-particle":"","family":"Klijn","given":"Catharina J M","non-dropping-particle":"","parse-names":false,"suffix":""},{"dropping-particle":"","family":"DIAGRAM study group","given":"","non-dropping-particle":"","parse-names":false,"suffix":""}],"container-title":"Journal of Neurology, Neurosurgery &amp; Psychiatry","id":"ITEM-1","issued":{"date-parts":[["2018","1","18"]]},"page":"jnnp-2017-317262","title":"Predicting the presence of macrovascular causes in non-traumatic intracerebral haemorrhage: the DIAGRAM prediction score","type":"article-journal"},"uris":["http://www.mendeley.com/documents/?uuid=913f82e7-2263-376c-9163-e875530835f2"]}],"mendeley":{"formattedCitation":"&lt;sup&gt;66&lt;/sup&gt;","plainTextFormattedCitation":"66","previouslyFormattedCitation":"&lt;sup&gt;66&lt;/sup&gt;"},"properties":{"noteIndex":0},"schema":"https://github.com/citation-style-language/schema/raw/master/csl-citation.json"}</w:instrText>
      </w:r>
      <w:r w:rsidR="00087256" w:rsidRPr="006A1593">
        <w:rPr>
          <w:sz w:val="24"/>
          <w:szCs w:val="24"/>
          <w:lang w:val="en-US"/>
        </w:rPr>
        <w:fldChar w:fldCharType="separate"/>
      </w:r>
      <w:r w:rsidR="00BA1458" w:rsidRPr="006A1593">
        <w:rPr>
          <w:noProof/>
          <w:sz w:val="24"/>
          <w:szCs w:val="24"/>
          <w:vertAlign w:val="superscript"/>
          <w:lang w:val="en-US"/>
        </w:rPr>
        <w:t>66</w:t>
      </w:r>
      <w:r w:rsidR="00087256" w:rsidRPr="006A1593">
        <w:rPr>
          <w:sz w:val="24"/>
          <w:szCs w:val="24"/>
          <w:lang w:val="en-US"/>
        </w:rPr>
        <w:fldChar w:fldCharType="end"/>
      </w:r>
      <w:r w:rsidR="00A15825" w:rsidRPr="006A1593">
        <w:rPr>
          <w:sz w:val="24"/>
          <w:szCs w:val="24"/>
          <w:lang w:val="en-US"/>
        </w:rPr>
        <w:t xml:space="preserve">. In this case, CTA analysis for spot sign detection may provide useful information in the identification of patients at high risk of experiencing HE and clinical deterioration. </w:t>
      </w:r>
      <w:r w:rsidRPr="006A1593">
        <w:rPr>
          <w:sz w:val="24"/>
          <w:szCs w:val="24"/>
          <w:lang w:val="en-US"/>
        </w:rPr>
        <w:t>Accurate estimation of ICH prognosis remains an unmet need and NCCT markers may provide clinicians</w:t>
      </w:r>
      <w:r w:rsidR="009134B6" w:rsidRPr="006A1593">
        <w:rPr>
          <w:sz w:val="24"/>
          <w:szCs w:val="24"/>
          <w:lang w:val="en-US"/>
        </w:rPr>
        <w:fldChar w:fldCharType="begin" w:fldLock="1"/>
      </w:r>
      <w:r w:rsidR="00BA1458" w:rsidRPr="006A1593">
        <w:rPr>
          <w:sz w:val="24"/>
          <w:szCs w:val="24"/>
          <w:lang w:val="en-US"/>
        </w:rPr>
        <w:instrText>ADDIN CSL_CITATION {"citationItems":[{"id":"ITEM-1","itemData":{"DOI":"10.1161/STROKEAHA.117.019541","ISSN":"0039-2499","author":[{"dropping-particle":"","family":"Needs","given":"Unmet","non-dropping-particle":"","parse-names":false,"suffix":""}],"container-title":"Stroke","id":"ITEM-1","issued":{"date-parts":[["2018"]]},"page":"STROKEAHA.117.019541","title":"Unmet Needs and Challenges in Clinical Research of Intracerebral Hemorrhage","type":"article-journal"},"uris":["http://www.mendeley.com/documents/?uuid=4c92907f-79c6-49ea-94f8-cd7d82b21447"]}],"mendeley":{"formattedCitation":"&lt;sup&gt;67&lt;/sup&gt;","plainTextFormattedCitation":"67","previouslyFormattedCitation":"&lt;sup&gt;67&lt;/sup&gt;"},"properties":{"noteIndex":0},"schema":"https://github.com/citation-style-language/schema/raw/master/csl-citation.json"}</w:instrText>
      </w:r>
      <w:r w:rsidR="009134B6" w:rsidRPr="006A1593">
        <w:rPr>
          <w:sz w:val="24"/>
          <w:szCs w:val="24"/>
          <w:lang w:val="en-US"/>
        </w:rPr>
        <w:fldChar w:fldCharType="separate"/>
      </w:r>
      <w:r w:rsidR="00BA1458" w:rsidRPr="006A1593">
        <w:rPr>
          <w:noProof/>
          <w:sz w:val="24"/>
          <w:szCs w:val="24"/>
          <w:vertAlign w:val="superscript"/>
          <w:lang w:val="en-US"/>
        </w:rPr>
        <w:t>67</w:t>
      </w:r>
      <w:r w:rsidR="009134B6" w:rsidRPr="006A1593">
        <w:rPr>
          <w:sz w:val="24"/>
          <w:szCs w:val="24"/>
          <w:lang w:val="en-US"/>
        </w:rPr>
        <w:fldChar w:fldCharType="end"/>
      </w:r>
      <w:r w:rsidRPr="006A1593">
        <w:rPr>
          <w:sz w:val="24"/>
          <w:szCs w:val="24"/>
          <w:lang w:val="en-US"/>
        </w:rPr>
        <w:t xml:space="preserve"> with more insights into the natural history and long term consequences of the disease. </w:t>
      </w:r>
      <w:r w:rsidR="008C699A" w:rsidRPr="006A1593">
        <w:rPr>
          <w:sz w:val="24"/>
          <w:szCs w:val="24"/>
          <w:lang w:val="en-US"/>
        </w:rPr>
        <w:t xml:space="preserve">However, the currently available evidence does not justify and support an extensive evaluation of NCCT ICH features in everyday clinical practice. </w:t>
      </w:r>
      <w:r w:rsidRPr="006A1593">
        <w:rPr>
          <w:sz w:val="24"/>
          <w:szCs w:val="24"/>
          <w:lang w:val="en-US"/>
        </w:rPr>
        <w:t>From a therapeutic point of view, there is no evidence so far that subjects having NCCT signs derive benefit from anti-expansion therapies</w:t>
      </w:r>
      <w:r w:rsidR="0067154C" w:rsidRPr="006A1593">
        <w:rPr>
          <w:sz w:val="24"/>
          <w:szCs w:val="24"/>
          <w:lang w:val="en-US"/>
        </w:rPr>
        <w:t>.</w:t>
      </w:r>
      <w:r w:rsidR="009134B6" w:rsidRPr="006A1593">
        <w:rPr>
          <w:sz w:val="24"/>
          <w:szCs w:val="24"/>
          <w:lang w:val="en-US"/>
        </w:rPr>
        <w:fldChar w:fldCharType="begin" w:fldLock="1"/>
      </w:r>
      <w:r w:rsidR="00BA1458" w:rsidRPr="006A1593">
        <w:rPr>
          <w:sz w:val="24"/>
          <w:szCs w:val="24"/>
          <w:lang w:val="en-US"/>
        </w:rPr>
        <w:instrText>ADDIN CSL_CITATION {"citationItems":[{"id":"ITEM-1","itemData":{"DOI":"10.1212/WNL.0000000000004210","ISSN":"1526-632X","PMID":"28701501","abstract":"OBJECTIVE To validate various noncontrast CT (NCCT) predictors of hematoma expansion in a large international cohort of ICH patients and investigate whether intensive blood pressure (BP) treatment reduces ICH growth and improves outcome in patients with these markers. METHODS We analyzed patients enrolled in the Antihypertensive Treatment of Acute Cerebral Hemorrhage II (ATACH-II) randomized controlled trial. Participants were assigned to intensive (systolic BP &lt;140 mm Hg) vs standard (systolic BP &lt;180 mm Hg) treatment within 4.5 hours from onset. The following NCCT markers were identified: intrahematoma hypodensities, black hole sign, swirl sign, blend sign, heterogeneous hematoma density, and irregular shape. ICH expansion was defined as hematoma growth &gt;33% and unfavorable outcome was defined as modified Rankin Scale score &gt;3 at 90 days. Logistic regression was used to identify predictors of ICH expansion and explore the association between NCCT signs and clinical benefit from intensive BP treatment. RESULTS A total of 989 patients were included (mean age 62 years, 61.9% male), of whom 186/869 experienced hematoma expansion (21.4%) and 361/952 (37.9%) had unfavorable outcome. NCCT markers independently predicted ICH expansion (all p &lt; 0.01) with overall accuracy ranging from 61% to 78% and good interrater reliability (k &gt; 0.6 for all markers). There was no evidence of an interaction between NCCT markers and benefit from intensive BP reduction (all p for interaction &gt;0.10). CONCLUSIONS NCCT signs reliably identify ICH patients at high risk of hematoma growth. However, we found no evidence that patients with these markers specifically benefit from intensive BP reduction. CLINICALTRIALSGOV IDENTIFIER NCT01176565.","author":[{"dropping-particle":"","family":"Morotti","given":"Andrea","non-dropping-particle":"","parse-names":false,"suffix":""},{"dropping-particle":"","family":"Boulouis","given":"Gregoire","non-dropping-particle":"","parse-names":false,"suffix":""},{"dropping-particle":"","family":"Romero","given":"Javier M","non-dropping-particle":"","parse-names":false,"suffix":""},{"dropping-particle":"","family":"Brouwers","given":"H Bart","non-dropping-particle":"","parse-names":false,"suffix":""},{"dropping-particle":"","family":"Jessel","given":"Michael J","non-dropping-particle":"","parse-names":false,"suffix":""},{"dropping-particle":"","family":"Vashkevich","given":"Anastasia","non-dropping-particle":"","parse-names":false,"suffix":""},{"dropping-particle":"","family":"Schwab","given":"Kristin","non-dropping-particle":"","parse-names":false,"suffix":""},{"dropping-particle":"","family":"Afzal","given":"Mohammad Rauf","non-dropping-particle":"","parse-names":false,"suffix":""},{"dropping-particle":"","family":"Cassarly","given":"Christy","non-dropping-particle":"","parse-names":false,"suffix":""},{"dropping-particle":"","family":"Greenberg","given":"Steven M","non-dropping-particle":"","parse-names":false,"suffix":""},{"dropping-particle":"","family":"Martin","given":"Reneé Hebert","non-dropping-particle":"","parse-names":false,"suffix":""},{"dropping-particle":"","family":"Qureshi","given":"Adnan I","non-dropping-particle":"","parse-names":false,"suffix":""},{"dropping-particle":"","family":"Rosand","given":"Jonathan","non-dropping-particle":"","parse-names":false,"suffix":""},{"dropping-particle":"","family":"Goldstein","given":"Joshua N","non-dropping-particle":"","parse-names":false,"suffix":""},{"dropping-particle":"","family":"ATACH-II and NETT investigators","given":"","non-dropping-particle":"","parse-names":false,"suffix":""}],"container-title":"Neurology","id":"ITEM-1","issue":"6","issued":{"date-parts":[["2017","8","8"]]},"page":"548-554","title":"Blood pressure reduction and noncontrast CT markers of intracerebral hemorrhage expansion.","type":"article-journal","volume":"89"},"uris":["http://www.mendeley.com/documents/?uuid=0318d940-0cb6-3723-9dcb-3581f4fc64c0"]}],"mendeley":{"formattedCitation":"&lt;sup&gt;49&lt;/sup&gt;","plainTextFormattedCitation":"49","previouslyFormattedCitation":"&lt;sup&gt;49&lt;/sup&gt;"},"properties":{"noteIndex":0},"schema":"https://github.com/citation-style-language/schema/raw/master/csl-citation.json"}</w:instrText>
      </w:r>
      <w:r w:rsidR="009134B6" w:rsidRPr="006A1593">
        <w:rPr>
          <w:sz w:val="24"/>
          <w:szCs w:val="24"/>
          <w:lang w:val="en-US"/>
        </w:rPr>
        <w:fldChar w:fldCharType="separate"/>
      </w:r>
      <w:r w:rsidR="00BA1458" w:rsidRPr="006A1593">
        <w:rPr>
          <w:noProof/>
          <w:sz w:val="24"/>
          <w:szCs w:val="24"/>
          <w:vertAlign w:val="superscript"/>
          <w:lang w:val="en-US"/>
        </w:rPr>
        <w:t>49</w:t>
      </w:r>
      <w:r w:rsidR="009134B6" w:rsidRPr="006A1593">
        <w:rPr>
          <w:sz w:val="24"/>
          <w:szCs w:val="24"/>
          <w:lang w:val="en-US"/>
        </w:rPr>
        <w:fldChar w:fldCharType="end"/>
      </w:r>
      <w:r w:rsidRPr="006A1593">
        <w:rPr>
          <w:sz w:val="24"/>
          <w:szCs w:val="24"/>
          <w:lang w:val="en-US"/>
        </w:rPr>
        <w:t xml:space="preserve"> NCCT markers may guide patients’ sele</w:t>
      </w:r>
      <w:r w:rsidR="00E64FFC" w:rsidRPr="006A1593">
        <w:rPr>
          <w:sz w:val="24"/>
          <w:szCs w:val="24"/>
          <w:lang w:val="en-US"/>
        </w:rPr>
        <w:t>ction for future RCT</w:t>
      </w:r>
      <w:r w:rsidRPr="006A1593">
        <w:rPr>
          <w:sz w:val="24"/>
          <w:szCs w:val="24"/>
          <w:lang w:val="en-US"/>
        </w:rPr>
        <w:t xml:space="preserve"> targeting </w:t>
      </w:r>
      <w:r w:rsidR="00932EB9" w:rsidRPr="006A1593">
        <w:rPr>
          <w:sz w:val="24"/>
          <w:szCs w:val="24"/>
          <w:lang w:val="en-US"/>
        </w:rPr>
        <w:t>HE</w:t>
      </w:r>
      <w:r w:rsidR="00BA5D6F" w:rsidRPr="006A1593">
        <w:rPr>
          <w:sz w:val="24"/>
          <w:szCs w:val="24"/>
          <w:lang w:val="en-US"/>
        </w:rPr>
        <w:t xml:space="preserve">, as </w:t>
      </w:r>
      <w:r w:rsidRPr="006A1593">
        <w:rPr>
          <w:sz w:val="24"/>
          <w:szCs w:val="24"/>
          <w:lang w:val="en-US"/>
        </w:rPr>
        <w:t xml:space="preserve">described in the </w:t>
      </w:r>
      <w:r w:rsidR="00BA5D6F" w:rsidRPr="006A1593">
        <w:rPr>
          <w:sz w:val="24"/>
          <w:szCs w:val="24"/>
          <w:lang w:val="en-US"/>
        </w:rPr>
        <w:t xml:space="preserve">priorities for future research </w:t>
      </w:r>
      <w:r w:rsidRPr="006A1593">
        <w:rPr>
          <w:sz w:val="24"/>
          <w:szCs w:val="24"/>
          <w:lang w:val="en-US"/>
        </w:rPr>
        <w:t>section</w:t>
      </w:r>
      <w:r w:rsidR="00BA5D6F" w:rsidRPr="006A1593">
        <w:rPr>
          <w:sz w:val="24"/>
          <w:szCs w:val="24"/>
          <w:lang w:val="en-US"/>
        </w:rPr>
        <w:t>.</w:t>
      </w:r>
      <w:r w:rsidR="008C699A" w:rsidRPr="006A1593">
        <w:rPr>
          <w:sz w:val="24"/>
          <w:szCs w:val="24"/>
          <w:lang w:val="en-US"/>
        </w:rPr>
        <w:t xml:space="preserve"> </w:t>
      </w:r>
      <w:r w:rsidR="00FA23AE" w:rsidRPr="006A1593">
        <w:rPr>
          <w:sz w:val="24"/>
          <w:szCs w:val="24"/>
          <w:lang w:val="en-US"/>
        </w:rPr>
        <w:t>Finally, time is brain in ICH a</w:t>
      </w:r>
      <w:r w:rsidR="00F33D93" w:rsidRPr="006A1593">
        <w:rPr>
          <w:sz w:val="24"/>
          <w:szCs w:val="24"/>
          <w:lang w:val="en-US"/>
        </w:rPr>
        <w:t>s</w:t>
      </w:r>
      <w:r w:rsidR="00FA23AE" w:rsidRPr="006A1593">
        <w:rPr>
          <w:sz w:val="24"/>
          <w:szCs w:val="24"/>
          <w:lang w:val="en-US"/>
        </w:rPr>
        <w:t xml:space="preserve"> HE is a very early event in the natural history of the disease. Rapid prehospital diagnosis and treatment of ICH  through mobile stroke units equipped with NCCT seems a feasible approach</w:t>
      </w:r>
      <w:r w:rsidR="00A744D0" w:rsidRPr="006A1593">
        <w:rPr>
          <w:sz w:val="24"/>
          <w:szCs w:val="24"/>
          <w:lang w:val="en-US"/>
        </w:rPr>
        <w:fldChar w:fldCharType="begin" w:fldLock="1"/>
      </w:r>
      <w:r w:rsidR="00BA1458" w:rsidRPr="006A1593">
        <w:rPr>
          <w:sz w:val="24"/>
          <w:szCs w:val="24"/>
          <w:lang w:val="en-US"/>
        </w:rPr>
        <w:instrText>ADDIN CSL_CITATION {"citationItems":[{"id":"ITEM-1","itemData":{"DOI":"10.1016/S1474-4422(17)30008-X","ISSN":"14744422","author":[{"dropping-particle":"","family":"Fassbender","given":"Klaus","non-dropping-particle":"","parse-names":false,"suffix":""},{"dropping-particle":"","family":"Grotta","given":"James C","non-dropping-particle":"","parse-names":false,"suffix":""},{"dropping-particle":"","family":"Walter","given":"Silke","non-dropping-particle":"","parse-names":false,"suffix":""},{"dropping-particle":"","family":"Grunwald","given":"Iris Q","non-dropping-particle":"","parse-names":false,"suffix":""},{"dropping-particle":"","family":"Ragoschke-Schumm","given":"Andreas","non-dropping-particle":"","parse-names":false,"suffix":""},{"dropping-particle":"","family":"Saver","given":"Jeffrey L","non-dropping-particle":"","parse-names":false,"suffix":""}],"container-title":"The Lancet Neurology","id":"ITEM-1","issue":"3","issued":{"date-parts":[["2017","3"]]},"page":"227-237","title":"Mobile stroke units for prehospital thrombolysis, triage, and beyond: benefits and challenges","type":"article-journal","volume":"16"},"uris":["http://www.mendeley.com/documents/?uuid=8610cf98-2be1-3012-85f9-83c4a9ee597f"]}],"mendeley":{"formattedCitation":"&lt;sup&gt;68&lt;/sup&gt;","plainTextFormattedCitation":"68","previouslyFormattedCitation":"&lt;sup&gt;68&lt;/sup&gt;"},"properties":{"noteIndex":0},"schema":"https://github.com/citation-style-language/schema/raw/master/csl-citation.json"}</w:instrText>
      </w:r>
      <w:r w:rsidR="00A744D0" w:rsidRPr="006A1593">
        <w:rPr>
          <w:sz w:val="24"/>
          <w:szCs w:val="24"/>
          <w:lang w:val="en-US"/>
        </w:rPr>
        <w:fldChar w:fldCharType="separate"/>
      </w:r>
      <w:r w:rsidR="00BA1458" w:rsidRPr="006A1593">
        <w:rPr>
          <w:noProof/>
          <w:sz w:val="24"/>
          <w:szCs w:val="24"/>
          <w:vertAlign w:val="superscript"/>
          <w:lang w:val="en-US"/>
        </w:rPr>
        <w:t>68</w:t>
      </w:r>
      <w:r w:rsidR="00A744D0" w:rsidRPr="006A1593">
        <w:rPr>
          <w:sz w:val="24"/>
          <w:szCs w:val="24"/>
          <w:lang w:val="en-US"/>
        </w:rPr>
        <w:fldChar w:fldCharType="end"/>
      </w:r>
      <w:r w:rsidR="00FA23AE" w:rsidRPr="006A1593">
        <w:rPr>
          <w:sz w:val="24"/>
          <w:szCs w:val="24"/>
          <w:lang w:val="en-US"/>
        </w:rPr>
        <w:t>. Conversely there are no data on CTA, feasibility, safety and diagnostic yield in the pre-hospital setting.</w:t>
      </w:r>
    </w:p>
    <w:p w:rsidR="00460669" w:rsidRPr="006A1593" w:rsidRDefault="00460669">
      <w:pPr>
        <w:pStyle w:val="Heading1"/>
        <w:rPr>
          <w:rFonts w:ascii="Times New Roman" w:hAnsi="Times New Roman"/>
          <w:sz w:val="24"/>
          <w:szCs w:val="24"/>
          <w:u w:val="none"/>
          <w:lang w:val="en-US"/>
        </w:rPr>
      </w:pPr>
      <w:r w:rsidRPr="006A1593">
        <w:rPr>
          <w:rStyle w:val="Heading1Char"/>
          <w:rFonts w:ascii="Times New Roman" w:hAnsi="Times New Roman"/>
          <w:b/>
          <w:sz w:val="24"/>
          <w:szCs w:val="24"/>
          <w:u w:val="none"/>
          <w:lang w:val="en-US"/>
        </w:rPr>
        <w:t>REPORTING STANDARDS</w:t>
      </w:r>
      <w:r w:rsidRPr="006A1593">
        <w:rPr>
          <w:rFonts w:ascii="Times New Roman" w:hAnsi="Times New Roman"/>
          <w:sz w:val="24"/>
          <w:szCs w:val="24"/>
          <w:u w:val="none"/>
          <w:lang w:val="en-US"/>
        </w:rPr>
        <w:t xml:space="preserve"> </w:t>
      </w:r>
    </w:p>
    <w:p w:rsidR="00460669" w:rsidRPr="006A1593" w:rsidRDefault="00460669">
      <w:pPr>
        <w:pStyle w:val="Heading2"/>
        <w:rPr>
          <w:rFonts w:ascii="Times New Roman" w:hAnsi="Times New Roman"/>
          <w:sz w:val="24"/>
          <w:szCs w:val="24"/>
          <w:u w:val="none"/>
          <w:lang w:val="en-US"/>
        </w:rPr>
      </w:pPr>
      <w:r w:rsidRPr="006A1593">
        <w:rPr>
          <w:rFonts w:ascii="Times New Roman" w:hAnsi="Times New Roman"/>
          <w:sz w:val="24"/>
          <w:szCs w:val="24"/>
          <w:u w:val="none"/>
          <w:lang w:val="en-US"/>
        </w:rPr>
        <w:t>Reporting on NCCT Markers in the acute phase of ICH</w:t>
      </w:r>
    </w:p>
    <w:p w:rsidR="00460669" w:rsidRPr="006A1593" w:rsidRDefault="00460669">
      <w:pPr>
        <w:rPr>
          <w:sz w:val="24"/>
          <w:szCs w:val="24"/>
          <w:lang w:val="en-US"/>
        </w:rPr>
      </w:pPr>
      <w:r w:rsidRPr="006A1593">
        <w:rPr>
          <w:sz w:val="24"/>
          <w:szCs w:val="24"/>
          <w:lang w:val="en-US"/>
        </w:rPr>
        <w:lastRenderedPageBreak/>
        <w:t>NCCT mar</w:t>
      </w:r>
      <w:r w:rsidR="00932EB9" w:rsidRPr="006A1593">
        <w:rPr>
          <w:sz w:val="24"/>
          <w:szCs w:val="24"/>
          <w:lang w:val="en-US"/>
        </w:rPr>
        <w:t>kers of HE</w:t>
      </w:r>
      <w:r w:rsidRPr="006A1593">
        <w:rPr>
          <w:sz w:val="24"/>
          <w:szCs w:val="24"/>
          <w:lang w:val="en-US"/>
        </w:rPr>
        <w:t xml:space="preserve"> </w:t>
      </w:r>
      <w:proofErr w:type="gramStart"/>
      <w:r w:rsidRPr="006A1593">
        <w:rPr>
          <w:sz w:val="24"/>
          <w:szCs w:val="24"/>
          <w:lang w:val="en-US"/>
        </w:rPr>
        <w:t>fall</w:t>
      </w:r>
      <w:proofErr w:type="gramEnd"/>
      <w:r w:rsidRPr="006A1593">
        <w:rPr>
          <w:sz w:val="24"/>
          <w:szCs w:val="24"/>
          <w:lang w:val="en-US"/>
        </w:rPr>
        <w:t xml:space="preserve"> into two broad categories: a) density and b) shape variations, with an important degree of overlap amo</w:t>
      </w:r>
      <w:r w:rsidR="0067154C" w:rsidRPr="006A1593">
        <w:rPr>
          <w:sz w:val="24"/>
          <w:szCs w:val="24"/>
          <w:lang w:val="en-US"/>
        </w:rPr>
        <w:t>ngst them in each category (</w:t>
      </w:r>
      <w:r w:rsidRPr="006A1593">
        <w:rPr>
          <w:sz w:val="24"/>
          <w:szCs w:val="24"/>
          <w:lang w:val="en-US"/>
        </w:rPr>
        <w:t>Figure 2</w:t>
      </w:r>
      <w:r w:rsidR="0067154C" w:rsidRPr="006A1593">
        <w:rPr>
          <w:sz w:val="24"/>
          <w:szCs w:val="24"/>
          <w:lang w:val="en-US"/>
        </w:rPr>
        <w:t>)</w:t>
      </w:r>
      <w:r w:rsidRPr="006A1593">
        <w:rPr>
          <w:sz w:val="24"/>
          <w:szCs w:val="24"/>
          <w:lang w:val="en-US"/>
        </w:rPr>
        <w:t xml:space="preserve">. Given the simplicity of the descriptors used to define NCCT markers, </w:t>
      </w:r>
      <w:r w:rsidR="00BA5D6F" w:rsidRPr="006A1593">
        <w:rPr>
          <w:sz w:val="24"/>
          <w:szCs w:val="24"/>
          <w:lang w:val="en-US"/>
        </w:rPr>
        <w:t>unified terminology will be</w:t>
      </w:r>
      <w:r w:rsidRPr="006A1593">
        <w:rPr>
          <w:sz w:val="24"/>
          <w:szCs w:val="24"/>
          <w:lang w:val="en-US"/>
        </w:rPr>
        <w:t xml:space="preserve"> critical for future</w:t>
      </w:r>
      <w:r w:rsidR="008C699A" w:rsidRPr="006A1593">
        <w:rPr>
          <w:sz w:val="24"/>
          <w:szCs w:val="24"/>
          <w:lang w:val="en-US"/>
        </w:rPr>
        <w:t xml:space="preserve"> research studies</w:t>
      </w:r>
      <w:r w:rsidR="006A1593" w:rsidRPr="006A1593">
        <w:rPr>
          <w:sz w:val="24"/>
          <w:szCs w:val="24"/>
          <w:lang w:val="en-US"/>
        </w:rPr>
        <w:t>.</w:t>
      </w:r>
      <w:r w:rsidRPr="006A1593">
        <w:rPr>
          <w:sz w:val="24"/>
          <w:szCs w:val="24"/>
          <w:lang w:val="en-US"/>
        </w:rPr>
        <w:t xml:space="preserve"> </w:t>
      </w:r>
      <w:r w:rsidR="00BA5D6F" w:rsidRPr="006A1593">
        <w:rPr>
          <w:sz w:val="24"/>
          <w:szCs w:val="24"/>
          <w:lang w:val="en-US"/>
        </w:rPr>
        <w:t>W</w:t>
      </w:r>
      <w:r w:rsidRPr="006A1593">
        <w:rPr>
          <w:sz w:val="24"/>
          <w:szCs w:val="24"/>
          <w:lang w:val="en-US"/>
        </w:rPr>
        <w:t>e propose the following guidelines for NCCT markers rating and reporting:</w:t>
      </w:r>
    </w:p>
    <w:p w:rsidR="00460669" w:rsidRPr="006A1593" w:rsidRDefault="00460669">
      <w:pPr>
        <w:numPr>
          <w:ilvl w:val="0"/>
          <w:numId w:val="3"/>
        </w:numPr>
        <w:rPr>
          <w:sz w:val="24"/>
          <w:szCs w:val="24"/>
          <w:lang w:val="en-US"/>
        </w:rPr>
      </w:pPr>
      <w:r w:rsidRPr="006A1593">
        <w:rPr>
          <w:sz w:val="24"/>
          <w:szCs w:val="24"/>
          <w:lang w:val="en-US"/>
        </w:rPr>
        <w:t>Categorize the NCCT marker as being an ICH shape feature or an ICH density feature.</w:t>
      </w:r>
    </w:p>
    <w:p w:rsidR="00460669" w:rsidRPr="006A1593" w:rsidRDefault="00460669">
      <w:pPr>
        <w:numPr>
          <w:ilvl w:val="0"/>
          <w:numId w:val="3"/>
        </w:numPr>
        <w:rPr>
          <w:sz w:val="24"/>
          <w:szCs w:val="24"/>
          <w:lang w:val="en-US"/>
        </w:rPr>
      </w:pPr>
      <w:r w:rsidRPr="006A1593">
        <w:rPr>
          <w:sz w:val="24"/>
          <w:szCs w:val="24"/>
          <w:lang w:val="en-US"/>
        </w:rPr>
        <w:t>Provide a comparative analysis with existing markers in the descriptors category and compare new findings with existing literature.</w:t>
      </w:r>
    </w:p>
    <w:p w:rsidR="00460669" w:rsidRPr="006A1593" w:rsidRDefault="00460669">
      <w:pPr>
        <w:numPr>
          <w:ilvl w:val="0"/>
          <w:numId w:val="3"/>
        </w:numPr>
        <w:rPr>
          <w:sz w:val="24"/>
          <w:szCs w:val="24"/>
          <w:lang w:val="en-US"/>
        </w:rPr>
      </w:pPr>
      <w:r w:rsidRPr="006A1593">
        <w:rPr>
          <w:sz w:val="24"/>
          <w:szCs w:val="24"/>
          <w:lang w:val="en-US"/>
        </w:rPr>
        <w:t xml:space="preserve">Report the methodology of training for every rater involved in NCCT scans evaluation. We suggest using the illustrative cases provided in the supplemental material for the raters’ training. These images may also be kept as reference templates during NCCT analysis. </w:t>
      </w:r>
    </w:p>
    <w:p w:rsidR="00460669" w:rsidRPr="006A1593" w:rsidRDefault="00460669">
      <w:pPr>
        <w:numPr>
          <w:ilvl w:val="0"/>
          <w:numId w:val="3"/>
        </w:numPr>
        <w:rPr>
          <w:sz w:val="24"/>
          <w:szCs w:val="24"/>
          <w:lang w:val="en-US"/>
        </w:rPr>
      </w:pPr>
      <w:r w:rsidRPr="006A1593">
        <w:rPr>
          <w:sz w:val="24"/>
          <w:szCs w:val="24"/>
          <w:lang w:val="en-US"/>
        </w:rPr>
        <w:t>Clarify whether the raters are blinded to the outcome of interest.</w:t>
      </w:r>
    </w:p>
    <w:p w:rsidR="00460669" w:rsidRPr="006A1593" w:rsidRDefault="00460669">
      <w:pPr>
        <w:numPr>
          <w:ilvl w:val="0"/>
          <w:numId w:val="3"/>
        </w:numPr>
        <w:rPr>
          <w:sz w:val="24"/>
          <w:szCs w:val="24"/>
          <w:lang w:val="en-US"/>
        </w:rPr>
      </w:pPr>
      <w:r w:rsidRPr="006A1593">
        <w:rPr>
          <w:sz w:val="24"/>
          <w:szCs w:val="24"/>
          <w:lang w:val="en-US"/>
        </w:rPr>
        <w:t xml:space="preserve">Clarify how disagreements are handled in case of multiple raters analyzing the same scans, and in this case quantify and report the inter- and intra-rater reliability. </w:t>
      </w:r>
    </w:p>
    <w:p w:rsidR="00460669" w:rsidRPr="006A1593" w:rsidRDefault="00460669">
      <w:pPr>
        <w:numPr>
          <w:ilvl w:val="0"/>
          <w:numId w:val="3"/>
        </w:numPr>
        <w:rPr>
          <w:sz w:val="24"/>
          <w:szCs w:val="24"/>
          <w:lang w:val="en-US"/>
        </w:rPr>
      </w:pPr>
      <w:r w:rsidRPr="006A1593">
        <w:rPr>
          <w:sz w:val="24"/>
          <w:szCs w:val="24"/>
          <w:lang w:val="en-US"/>
        </w:rPr>
        <w:t>Provide details about NCCT acquisition protocol</w:t>
      </w:r>
      <w:r w:rsidR="00593451" w:rsidRPr="006A1593">
        <w:rPr>
          <w:sz w:val="24"/>
          <w:szCs w:val="24"/>
          <w:lang w:val="en-US"/>
        </w:rPr>
        <w:t>,</w:t>
      </w:r>
      <w:r w:rsidRPr="006A1593">
        <w:rPr>
          <w:sz w:val="24"/>
          <w:szCs w:val="24"/>
          <w:lang w:val="en-US"/>
        </w:rPr>
        <w:t xml:space="preserve"> adherence to the </w:t>
      </w:r>
      <w:proofErr w:type="gramStart"/>
      <w:r w:rsidRPr="006A1593">
        <w:rPr>
          <w:sz w:val="24"/>
          <w:szCs w:val="24"/>
          <w:lang w:val="en-US"/>
        </w:rPr>
        <w:t>imaging  recommendations</w:t>
      </w:r>
      <w:proofErr w:type="gramEnd"/>
      <w:r w:rsidRPr="006A1593">
        <w:rPr>
          <w:sz w:val="24"/>
          <w:szCs w:val="24"/>
          <w:lang w:val="en-US"/>
        </w:rPr>
        <w:t xml:space="preserve"> and parameters described in the dedicated section of this manuscript.</w:t>
      </w:r>
    </w:p>
    <w:p w:rsidR="00EE26BC" w:rsidRPr="006A1593" w:rsidRDefault="00EE26BC">
      <w:pPr>
        <w:pStyle w:val="Heading2"/>
        <w:rPr>
          <w:rFonts w:ascii="Times New Roman" w:hAnsi="Times New Roman"/>
          <w:sz w:val="24"/>
          <w:szCs w:val="24"/>
          <w:u w:val="none"/>
          <w:lang w:val="en-US"/>
        </w:rPr>
      </w:pPr>
    </w:p>
    <w:p w:rsidR="00460669" w:rsidRPr="006A1593" w:rsidRDefault="00460669">
      <w:pPr>
        <w:pStyle w:val="Heading2"/>
        <w:rPr>
          <w:rFonts w:ascii="Times New Roman" w:hAnsi="Times New Roman"/>
          <w:sz w:val="24"/>
          <w:szCs w:val="24"/>
          <w:u w:val="none"/>
          <w:lang w:val="en-US"/>
        </w:rPr>
      </w:pPr>
      <w:r w:rsidRPr="006A1593">
        <w:rPr>
          <w:rFonts w:ascii="Times New Roman" w:hAnsi="Times New Roman"/>
          <w:sz w:val="24"/>
          <w:szCs w:val="24"/>
          <w:u w:val="none"/>
          <w:lang w:val="en-US"/>
        </w:rPr>
        <w:t xml:space="preserve">Reporting an association with Hematoma Expansion </w:t>
      </w:r>
    </w:p>
    <w:p w:rsidR="00460669" w:rsidRPr="006A1593" w:rsidRDefault="00460669">
      <w:pPr>
        <w:pStyle w:val="Heading3"/>
        <w:rPr>
          <w:rFonts w:ascii="Times New Roman" w:hAnsi="Times New Roman"/>
          <w:sz w:val="24"/>
          <w:szCs w:val="24"/>
          <w:lang w:val="en-US"/>
        </w:rPr>
      </w:pPr>
      <w:r w:rsidRPr="006A1593">
        <w:rPr>
          <w:rFonts w:ascii="Times New Roman" w:hAnsi="Times New Roman"/>
          <w:sz w:val="24"/>
          <w:szCs w:val="24"/>
          <w:lang w:val="en-US"/>
        </w:rPr>
        <w:t>Intraparenchymal component</w:t>
      </w:r>
    </w:p>
    <w:p w:rsidR="00460669" w:rsidRPr="006A1593" w:rsidRDefault="00460669">
      <w:pPr>
        <w:rPr>
          <w:sz w:val="24"/>
          <w:szCs w:val="24"/>
          <w:shd w:val="clear" w:color="auto" w:fill="FFFFFF"/>
          <w:lang w:val="en-US"/>
        </w:rPr>
      </w:pPr>
      <w:r w:rsidRPr="006A1593">
        <w:rPr>
          <w:sz w:val="24"/>
          <w:szCs w:val="24"/>
          <w:shd w:val="clear" w:color="auto" w:fill="FFFFFF"/>
          <w:lang w:val="en-US"/>
        </w:rPr>
        <w:t>I</w:t>
      </w:r>
      <w:r w:rsidR="00932EB9" w:rsidRPr="006A1593">
        <w:rPr>
          <w:sz w:val="24"/>
          <w:szCs w:val="24"/>
          <w:shd w:val="clear" w:color="auto" w:fill="FFFFFF"/>
          <w:lang w:val="en-US"/>
        </w:rPr>
        <w:t>t has been shown that HE</w:t>
      </w:r>
      <w:r w:rsidR="0067154C" w:rsidRPr="006A1593">
        <w:rPr>
          <w:sz w:val="24"/>
          <w:szCs w:val="24"/>
          <w:shd w:val="clear" w:color="auto" w:fill="FFFFFF"/>
          <w:lang w:val="en-US"/>
        </w:rPr>
        <w:t xml:space="preserve"> is associated with </w:t>
      </w:r>
      <w:r w:rsidRPr="006A1593">
        <w:rPr>
          <w:sz w:val="24"/>
          <w:szCs w:val="24"/>
          <w:shd w:val="clear" w:color="auto" w:fill="FFFFFF"/>
          <w:lang w:val="en-US"/>
        </w:rPr>
        <w:t>worse clinical course, regardless of how expansion or poor outcome are defined.</w:t>
      </w:r>
      <w:r w:rsidR="009134B6" w:rsidRPr="006A1593">
        <w:rPr>
          <w:sz w:val="24"/>
          <w:szCs w:val="24"/>
          <w:shd w:val="clear" w:color="auto" w:fill="FFFFFF"/>
          <w:lang w:val="en-US"/>
        </w:rPr>
        <w:fldChar w:fldCharType="begin" w:fldLock="1"/>
      </w:r>
      <w:r w:rsidR="00A744D0" w:rsidRPr="006A1593">
        <w:rPr>
          <w:sz w:val="24"/>
          <w:szCs w:val="24"/>
          <w:shd w:val="clear" w:color="auto" w:fill="FFFFFF"/>
          <w:lang w:val="en-US"/>
        </w:rPr>
        <w:instrText>ADDIN CSL_CITATION {"citationItems":[{"id":"ITEM-1","itemData":{"DOI":"10.1212/WNL.0b013e3182143317","ISSN":"00283878","PMID":"21346218","abstract":"Hematoma expansion (HE) is a surrogate marker in intracerebral hemorrhage (ICH) trials. However, the amount of HE necessary to produce poor outcomes in an individual is unclear; there is no agreement on a clinically meaningful definition of HE. We compared commonly used definitions of HE in their ability to predict poor outcome as defined by various cutpoints on the modified Rankin Scale (mRS).","author":[{"dropping-particle":"","family":"Dowlatshahi","given":"D.","non-dropping-particle":"","parse-names":false,"suffix":""},{"dropping-particle":"","family":"Demchuk","given":"a. M.","non-dropping-particle":"","parse-names":false,"suffix":""},{"dropping-particle":"","family":"Flaherty","given":"M. L.","non-dropping-particle":"","parse-names":false,"suffix":""},{"dropping-particle":"","family":"Ali","given":"M.","non-dropping-particle":"","parse-names":false,"suffix":""},{"dropping-particle":"","family":"Lyden","given":"P. L.","non-dropping-particle":"","parse-names":false,"suffix":""},{"dropping-particle":"","family":"Smith","given":"E. E.","non-dropping-particle":"","parse-names":false,"suffix":""}],"container-title":"Neurology","id":"ITEM-1","issue":"14","issued":{"date-parts":[["2011"]]},"page":"1238-1244","title":"Defining hematoma expansion in intracerebral hemorrhage: Relationship with patient outcomes","type":"article-journal","volume":"76"},"uris":["http://www.mendeley.com/documents/?uuid=c77c2a2d-9c82-48c5-91d8-687769ded906"]}],"mendeley":{"formattedCitation":"&lt;sup&gt;6&lt;/sup&gt;","plainTextFormattedCitation":"6","previouslyFormattedCitation":"&lt;sup&gt;6&lt;/sup&gt;"},"properties":{"noteIndex":0},"schema":"https://github.com/citation-style-language/schema/raw/master/csl-citation.json"}</w:instrText>
      </w:r>
      <w:r w:rsidR="009134B6" w:rsidRPr="006A1593">
        <w:rPr>
          <w:sz w:val="24"/>
          <w:szCs w:val="24"/>
          <w:shd w:val="clear" w:color="auto" w:fill="FFFFFF"/>
          <w:lang w:val="en-US"/>
        </w:rPr>
        <w:fldChar w:fldCharType="separate"/>
      </w:r>
      <w:r w:rsidR="00A744D0" w:rsidRPr="006A1593">
        <w:rPr>
          <w:noProof/>
          <w:sz w:val="24"/>
          <w:szCs w:val="24"/>
          <w:shd w:val="clear" w:color="auto" w:fill="FFFFFF"/>
          <w:vertAlign w:val="superscript"/>
          <w:lang w:val="en-US"/>
        </w:rPr>
        <w:t>6</w:t>
      </w:r>
      <w:r w:rsidR="009134B6" w:rsidRPr="006A1593">
        <w:rPr>
          <w:sz w:val="24"/>
          <w:szCs w:val="24"/>
          <w:shd w:val="clear" w:color="auto" w:fill="FFFFFF"/>
          <w:lang w:val="en-US"/>
        </w:rPr>
        <w:fldChar w:fldCharType="end"/>
      </w:r>
      <w:r w:rsidRPr="006A1593">
        <w:rPr>
          <w:sz w:val="24"/>
          <w:szCs w:val="24"/>
          <w:shd w:val="clear" w:color="auto" w:fill="FFFFFF"/>
          <w:lang w:val="en-US"/>
        </w:rPr>
        <w:t xml:space="preserve"> However, to promote reproducibility across studies and harmonize the r</w:t>
      </w:r>
      <w:r w:rsidR="00932EB9" w:rsidRPr="006A1593">
        <w:rPr>
          <w:sz w:val="24"/>
          <w:szCs w:val="24"/>
          <w:shd w:val="clear" w:color="auto" w:fill="FFFFFF"/>
          <w:lang w:val="en-US"/>
        </w:rPr>
        <w:t>eporting of HE</w:t>
      </w:r>
      <w:r w:rsidRPr="006A1593">
        <w:rPr>
          <w:sz w:val="24"/>
          <w:szCs w:val="24"/>
          <w:shd w:val="clear" w:color="auto" w:fill="FFFFFF"/>
          <w:lang w:val="en-US"/>
        </w:rPr>
        <w:t xml:space="preserve">, we recommend the following points when reporting </w:t>
      </w:r>
      <w:r w:rsidR="0067154C" w:rsidRPr="006A1593">
        <w:rPr>
          <w:sz w:val="24"/>
          <w:szCs w:val="24"/>
          <w:shd w:val="clear" w:color="auto" w:fill="FFFFFF"/>
          <w:lang w:val="en-US"/>
        </w:rPr>
        <w:t>ICH</w:t>
      </w:r>
      <w:r w:rsidRPr="006A1593">
        <w:rPr>
          <w:sz w:val="24"/>
          <w:szCs w:val="24"/>
          <w:shd w:val="clear" w:color="auto" w:fill="FFFFFF"/>
          <w:lang w:val="en-US"/>
        </w:rPr>
        <w:t xml:space="preserve"> volume evolution over time (e.g. hemorrhage stability or expansion/growth on longitudinal imaging): </w:t>
      </w:r>
    </w:p>
    <w:p w:rsidR="00460669" w:rsidRPr="006A1593" w:rsidRDefault="00460669">
      <w:pPr>
        <w:numPr>
          <w:ilvl w:val="0"/>
          <w:numId w:val="4"/>
        </w:numPr>
        <w:rPr>
          <w:sz w:val="24"/>
          <w:szCs w:val="24"/>
          <w:shd w:val="clear" w:color="auto" w:fill="FFFFFF"/>
          <w:lang w:val="en-US"/>
        </w:rPr>
      </w:pPr>
      <w:r w:rsidRPr="006A1593">
        <w:rPr>
          <w:sz w:val="24"/>
          <w:szCs w:val="24"/>
          <w:shd w:val="clear" w:color="auto" w:fill="FFFFFF"/>
          <w:lang w:val="en-US"/>
        </w:rPr>
        <w:t>Hemorrhage volume should be ideally assessed using a semi-automated planimetric method, because the error margin of ellipsoi</w:t>
      </w:r>
      <w:r w:rsidR="0067154C" w:rsidRPr="006A1593">
        <w:rPr>
          <w:sz w:val="24"/>
          <w:szCs w:val="24"/>
          <w:shd w:val="clear" w:color="auto" w:fill="FFFFFF"/>
          <w:lang w:val="en-US"/>
        </w:rPr>
        <w:t>d volume approximations (</w:t>
      </w:r>
      <w:r w:rsidRPr="006A1593">
        <w:rPr>
          <w:sz w:val="24"/>
          <w:szCs w:val="24"/>
          <w:shd w:val="clear" w:color="auto" w:fill="FFFFFF"/>
          <w:lang w:val="en-US"/>
        </w:rPr>
        <w:t>ABC/2 method) is too important relative to the hemorrhage volume change to be used in studies assessing hemorrhage growth.</w:t>
      </w:r>
      <w:r w:rsidR="009134B6" w:rsidRPr="006A1593">
        <w:rPr>
          <w:sz w:val="24"/>
          <w:szCs w:val="24"/>
          <w:shd w:val="clear" w:color="auto" w:fill="FFFFFF"/>
          <w:lang w:val="en-US"/>
        </w:rPr>
        <w:fldChar w:fldCharType="begin" w:fldLock="1"/>
      </w:r>
      <w:r w:rsidR="00BA1458" w:rsidRPr="006A1593">
        <w:rPr>
          <w:sz w:val="24"/>
          <w:szCs w:val="24"/>
          <w:shd w:val="clear" w:color="auto" w:fill="FFFFFF"/>
          <w:lang w:val="en-US"/>
        </w:rPr>
        <w:instrText>ADDIN CSL_CITATION {"citationItems":[{"id":"ITEM-1","itemData":{"DOI":"10.1161/01.STR.0000198806.67472.5c","ISSN":"1524-4628","PMID":"16373654","abstract":"BACKGROUND AND PURPOSE The ABC/2 formula is a reliable estimation technique of intracerebral hematoma volume. However, oral anticoagulant therapy (OAT)-related intracerebral hemorrhage (ICH) compared with primary ICH is based on a different pathophysiological mechanism, and various shapes of hematomas are more likely to occur. Our objective was to validate the ABC/2 technique based on analyses of the hematoma shapes in OAT-related ICH. METHODS We reviewed the computed tomography scans of 83 patients with OAT-associated intraparenchymal ICH. Location was divided into deep, lobar, cerebellar, and brain stem hemorrhage. Shape of the ICH was divided into (A) round-to-ellipsoid, (B) irregular with frayed margins, and (C) multinodular to separated. The ABC/2 technique was compared with computer-assisted planimetric analyses with regard to hematoma site and shape. RESULTS The mean hematoma volume was 40.83+/-3.9 cm3 (ABC/2) versus 36.6+/-3.5 cm3 (planimetric analysis). Bland-Altman plots suggested equivalence of both estimation techniques, especially for smaller ICH volumes. The most frequent location was a deep hemorrhage (54%), followed by lobar (21%), cerebellar (14%) and brain stem hemorrhage (11%). The most common shape was round-to-ellipsoid (44%), followed by irregular ICH (31%) and separated and multinodular shapes (25%). In the latter, ABC/2 formula significantly overestimated volume by +32.1% (round shapes by +6.7%; irregular shapes by +14.9%; P ANOVA &lt;0.01). Variation of the denominator toward ABC/3 in cases of irregularly and separately shaped hematomas revealed more a precise volume estimation with a deviation of -10.3% in irregular and +5.6% in separately shaped hematomas. CONCLUSIONS In patients with OAT-related ICH, &gt;50% of bleedings are irregularly shaped. In these cases, hematoma volume is significantly overestimated by the ABC/2 formula. Modification of the denominator to 3 (ie, ABC/3) measured ICH volume more accurately in these patients potentially facilitating treatment decisions.","author":[{"dropping-particle":"","family":"Huttner","given":"Hagen B","non-dropping-particle":"","parse-names":false,"suffix":""},{"dropping-particle":"","family":"Steiner","given":"Thorsten","non-dropping-particle":"","parse-names":false,"suffix":""},{"dropping-particle":"","family":"Hartmann","given":"Marius","non-dropping-particle":"","parse-names":false,"suffix":""},{"dropping-particle":"","family":"Köhrmann","given":"Martin","non-dropping-particle":"","parse-names":false,"suffix":""},{"dropping-particle":"","family":"Juettler","given":"Eric","non-dropping-particle":"","parse-names":false,"suffix":""},{"dropping-particle":"","family":"Mueller","given":"Stephan","non-dropping-particle":"","parse-names":false,"suffix":""},{"dropping-particle":"","family":"Wikner","given":"Johannes","non-dropping-particle":"","parse-names":false,"suffix":""},{"dropping-particle":"","family":"Meyding-Lamade","given":"Uta","non-dropping-particle":"","parse-names":false,"suffix":""},{"dropping-particle":"","family":"Schramm","given":"Peter","non-dropping-particle":"","parse-names":false,"suffix":""},{"dropping-particle":"","family":"Schwab","given":"Stefan","non-dropping-particle":"","parse-names":false,"suffix":""},{"dropping-particle":"","family":"Schellinger","given":"Peter D","non-dropping-particle":"","parse-names":false,"suffix":""}],"container-title":"Stroke","id":"ITEM-1","issue":"2","issued":{"date-parts":[["2006","2","1"]]},"page":"404-8","title":"Comparison of ABC/2 estimation technique to computer-assisted planimetric analysis in warfarin-related intracerebral parenchymal hemorrhage.","type":"article-journal","volume":"37"},"uris":["http://www.mendeley.com/documents/?uuid=192b60d8-7b6c-32ac-9ba6-caa3119f7403"]}],"mendeley":{"formattedCitation":"&lt;sup&gt;69&lt;/sup&gt;","plainTextFormattedCitation":"69","previouslyFormattedCitation":"&lt;sup&gt;69&lt;/sup&gt;"},"properties":{"noteIndex":0},"schema":"https://github.com/citation-style-language/schema/raw/master/csl-citation.json"}</w:instrText>
      </w:r>
      <w:r w:rsidR="009134B6" w:rsidRPr="006A1593">
        <w:rPr>
          <w:sz w:val="24"/>
          <w:szCs w:val="24"/>
          <w:shd w:val="clear" w:color="auto" w:fill="FFFFFF"/>
          <w:lang w:val="en-US"/>
        </w:rPr>
        <w:fldChar w:fldCharType="separate"/>
      </w:r>
      <w:r w:rsidR="00BA1458" w:rsidRPr="006A1593">
        <w:rPr>
          <w:noProof/>
          <w:sz w:val="24"/>
          <w:szCs w:val="24"/>
          <w:shd w:val="clear" w:color="auto" w:fill="FFFFFF"/>
          <w:vertAlign w:val="superscript"/>
          <w:lang w:val="en-US"/>
        </w:rPr>
        <w:t>69</w:t>
      </w:r>
      <w:r w:rsidR="009134B6" w:rsidRPr="006A1593">
        <w:rPr>
          <w:sz w:val="24"/>
          <w:szCs w:val="24"/>
          <w:shd w:val="clear" w:color="auto" w:fill="FFFFFF"/>
          <w:lang w:val="en-US"/>
        </w:rPr>
        <w:fldChar w:fldCharType="end"/>
      </w:r>
    </w:p>
    <w:p w:rsidR="00460669" w:rsidRPr="006A1593" w:rsidRDefault="00460669">
      <w:pPr>
        <w:numPr>
          <w:ilvl w:val="0"/>
          <w:numId w:val="4"/>
        </w:numPr>
        <w:rPr>
          <w:sz w:val="24"/>
          <w:szCs w:val="24"/>
          <w:shd w:val="clear" w:color="auto" w:fill="FFFFFF"/>
          <w:lang w:val="en-US"/>
        </w:rPr>
      </w:pPr>
      <w:r w:rsidRPr="006A1593">
        <w:rPr>
          <w:sz w:val="24"/>
          <w:szCs w:val="24"/>
          <w:shd w:val="clear" w:color="auto" w:fill="FFFFFF"/>
          <w:lang w:val="en-US"/>
        </w:rPr>
        <w:lastRenderedPageBreak/>
        <w:t>Hemorrhage volume growth should be expressed in absolute and relative values, that is the absolute/relative increase in follow up hemorrhage volume by comparison to the baseline imaging (</w:t>
      </w:r>
      <w:r w:rsidRPr="006A1593">
        <w:rPr>
          <w:i/>
          <w:sz w:val="24"/>
          <w:szCs w:val="24"/>
          <w:shd w:val="clear" w:color="auto" w:fill="FFFFFF"/>
          <w:vertAlign w:val="subscript"/>
          <w:lang w:val="en-US"/>
        </w:rPr>
        <w:t>Follow-</w:t>
      </w:r>
      <w:proofErr w:type="spellStart"/>
      <w:r w:rsidRPr="006A1593">
        <w:rPr>
          <w:i/>
          <w:sz w:val="24"/>
          <w:szCs w:val="24"/>
          <w:shd w:val="clear" w:color="auto" w:fill="FFFFFF"/>
          <w:vertAlign w:val="subscript"/>
          <w:lang w:val="en-US"/>
        </w:rPr>
        <w:t>up</w:t>
      </w:r>
      <w:r w:rsidRPr="006A1593">
        <w:rPr>
          <w:i/>
          <w:sz w:val="24"/>
          <w:szCs w:val="24"/>
          <w:shd w:val="clear" w:color="auto" w:fill="FFFFFF"/>
          <w:lang w:val="en-US"/>
        </w:rPr>
        <w:t>Volume</w:t>
      </w:r>
      <w:proofErr w:type="spellEnd"/>
      <w:r w:rsidRPr="006A1593">
        <w:rPr>
          <w:i/>
          <w:sz w:val="24"/>
          <w:szCs w:val="24"/>
          <w:shd w:val="clear" w:color="auto" w:fill="FFFFFF"/>
          <w:lang w:val="en-US"/>
        </w:rPr>
        <w:t xml:space="preserve"> – </w:t>
      </w:r>
      <w:proofErr w:type="spellStart"/>
      <w:r w:rsidRPr="006A1593">
        <w:rPr>
          <w:i/>
          <w:sz w:val="24"/>
          <w:szCs w:val="24"/>
          <w:shd w:val="clear" w:color="auto" w:fill="FFFFFF"/>
          <w:vertAlign w:val="subscript"/>
          <w:lang w:val="en-US"/>
        </w:rPr>
        <w:t>Baseline</w:t>
      </w:r>
      <w:r w:rsidRPr="006A1593">
        <w:rPr>
          <w:i/>
          <w:sz w:val="24"/>
          <w:szCs w:val="24"/>
          <w:shd w:val="clear" w:color="auto" w:fill="FFFFFF"/>
          <w:lang w:val="en-US"/>
        </w:rPr>
        <w:t>Volume</w:t>
      </w:r>
      <w:proofErr w:type="spellEnd"/>
      <w:r w:rsidRPr="006A1593">
        <w:rPr>
          <w:sz w:val="24"/>
          <w:szCs w:val="24"/>
          <w:shd w:val="clear" w:color="auto" w:fill="FFFFFF"/>
          <w:lang w:val="en-US"/>
        </w:rPr>
        <w:t xml:space="preserve">, in cube centimeters and </w:t>
      </w:r>
      <w:r w:rsidRPr="006A1593">
        <w:rPr>
          <w:i/>
          <w:sz w:val="24"/>
          <w:szCs w:val="24"/>
          <w:shd w:val="clear" w:color="auto" w:fill="FFFFFF"/>
          <w:lang w:val="en-US"/>
        </w:rPr>
        <w:t>[</w:t>
      </w:r>
      <w:r w:rsidRPr="006A1593">
        <w:rPr>
          <w:i/>
          <w:sz w:val="24"/>
          <w:szCs w:val="24"/>
          <w:shd w:val="clear" w:color="auto" w:fill="FFFFFF"/>
          <w:vertAlign w:val="subscript"/>
          <w:lang w:val="en-US"/>
        </w:rPr>
        <w:t>Follow-</w:t>
      </w:r>
      <w:proofErr w:type="spellStart"/>
      <w:r w:rsidRPr="006A1593">
        <w:rPr>
          <w:i/>
          <w:sz w:val="24"/>
          <w:szCs w:val="24"/>
          <w:shd w:val="clear" w:color="auto" w:fill="FFFFFF"/>
          <w:vertAlign w:val="subscript"/>
          <w:lang w:val="en-US"/>
        </w:rPr>
        <w:t>up</w:t>
      </w:r>
      <w:r w:rsidRPr="006A1593">
        <w:rPr>
          <w:i/>
          <w:sz w:val="24"/>
          <w:szCs w:val="24"/>
          <w:shd w:val="clear" w:color="auto" w:fill="FFFFFF"/>
          <w:lang w:val="en-US"/>
        </w:rPr>
        <w:t>Volume</w:t>
      </w:r>
      <w:proofErr w:type="spellEnd"/>
      <w:r w:rsidRPr="006A1593">
        <w:rPr>
          <w:i/>
          <w:sz w:val="24"/>
          <w:szCs w:val="24"/>
          <w:shd w:val="clear" w:color="auto" w:fill="FFFFFF"/>
          <w:lang w:val="en-US"/>
        </w:rPr>
        <w:t xml:space="preserve"> – </w:t>
      </w:r>
      <w:proofErr w:type="spellStart"/>
      <w:r w:rsidRPr="006A1593">
        <w:rPr>
          <w:i/>
          <w:sz w:val="24"/>
          <w:szCs w:val="24"/>
          <w:shd w:val="clear" w:color="auto" w:fill="FFFFFF"/>
          <w:vertAlign w:val="subscript"/>
          <w:lang w:val="en-US"/>
        </w:rPr>
        <w:t>Baseline</w:t>
      </w:r>
      <w:r w:rsidRPr="006A1593">
        <w:rPr>
          <w:i/>
          <w:sz w:val="24"/>
          <w:szCs w:val="24"/>
          <w:shd w:val="clear" w:color="auto" w:fill="FFFFFF"/>
          <w:lang w:val="en-US"/>
        </w:rPr>
        <w:t>Volume</w:t>
      </w:r>
      <w:proofErr w:type="spellEnd"/>
      <w:r w:rsidRPr="006A1593">
        <w:rPr>
          <w:i/>
          <w:sz w:val="24"/>
          <w:szCs w:val="24"/>
          <w:shd w:val="clear" w:color="auto" w:fill="FFFFFF"/>
          <w:lang w:val="en-US"/>
        </w:rPr>
        <w:t>]/</w:t>
      </w:r>
      <w:proofErr w:type="spellStart"/>
      <w:r w:rsidRPr="006A1593">
        <w:rPr>
          <w:i/>
          <w:sz w:val="24"/>
          <w:szCs w:val="24"/>
          <w:shd w:val="clear" w:color="auto" w:fill="FFFFFF"/>
          <w:vertAlign w:val="subscript"/>
          <w:lang w:val="en-US"/>
        </w:rPr>
        <w:t>Baseline</w:t>
      </w:r>
      <w:r w:rsidRPr="006A1593">
        <w:rPr>
          <w:i/>
          <w:sz w:val="24"/>
          <w:szCs w:val="24"/>
          <w:shd w:val="clear" w:color="auto" w:fill="FFFFFF"/>
          <w:lang w:val="en-US"/>
        </w:rPr>
        <w:t>Volume</w:t>
      </w:r>
      <w:proofErr w:type="spellEnd"/>
      <w:r w:rsidRPr="006A1593">
        <w:rPr>
          <w:sz w:val="24"/>
          <w:szCs w:val="24"/>
          <w:shd w:val="clear" w:color="auto" w:fill="FFFFFF"/>
          <w:lang w:val="en-US"/>
        </w:rPr>
        <w:t>, in %).</w:t>
      </w:r>
    </w:p>
    <w:p w:rsidR="00460669" w:rsidRPr="006A1593" w:rsidRDefault="00460669">
      <w:pPr>
        <w:numPr>
          <w:ilvl w:val="0"/>
          <w:numId w:val="4"/>
        </w:numPr>
        <w:rPr>
          <w:sz w:val="24"/>
          <w:szCs w:val="24"/>
          <w:shd w:val="clear" w:color="auto" w:fill="FFFFFF"/>
          <w:lang w:val="en-US"/>
        </w:rPr>
      </w:pPr>
      <w:r w:rsidRPr="006A1593">
        <w:rPr>
          <w:sz w:val="24"/>
          <w:szCs w:val="24"/>
          <w:shd w:val="clear" w:color="auto" w:fill="FFFFFF"/>
          <w:lang w:val="en-US"/>
        </w:rPr>
        <w:t>The following dichotomous cut offs, having been most commonly used to define a clinically relevant hemorrhage growth, and therefore should be used in studies reporting hemorrhage growth</w:t>
      </w:r>
      <w:r w:rsidRPr="006A1593">
        <w:rPr>
          <w:i/>
          <w:sz w:val="24"/>
          <w:szCs w:val="24"/>
          <w:shd w:val="clear" w:color="auto" w:fill="FFFFFF"/>
          <w:lang w:val="en-US"/>
        </w:rPr>
        <w:t xml:space="preserve"> : increase in 6mL, 12.5 mL, 33%</w:t>
      </w:r>
      <w:r w:rsidR="0067154C" w:rsidRPr="006A1593">
        <w:rPr>
          <w:i/>
          <w:sz w:val="24"/>
          <w:szCs w:val="24"/>
          <w:shd w:val="clear" w:color="auto" w:fill="FFFFFF"/>
          <w:lang w:val="en-US"/>
        </w:rPr>
        <w:t>.</w:t>
      </w:r>
      <w:r w:rsidR="009134B6" w:rsidRPr="006A1593">
        <w:rPr>
          <w:i/>
          <w:sz w:val="24"/>
          <w:szCs w:val="24"/>
          <w:shd w:val="clear" w:color="auto" w:fill="FFFFFF"/>
          <w:lang w:val="en-US"/>
        </w:rPr>
        <w:fldChar w:fldCharType="begin" w:fldLock="1"/>
      </w:r>
      <w:r w:rsidR="00A744D0" w:rsidRPr="006A1593">
        <w:rPr>
          <w:i/>
          <w:sz w:val="24"/>
          <w:szCs w:val="24"/>
          <w:shd w:val="clear" w:color="auto" w:fill="FFFFFF"/>
          <w:lang w:val="en-US"/>
        </w:rPr>
        <w:instrText>ADDIN CSL_CITATION {"citationItems":[{"id":"ITEM-1","itemData":{"DOI":"10.1212/WNL.0b013e3182143317","ISSN":"00283878","PMID":"21346218","abstract":"Hematoma expansion (HE) is a surrogate marker in intracerebral hemorrhage (ICH) trials. However, the amount of HE necessary to produce poor outcomes in an individual is unclear; there is no agreement on a clinically meaningful definition of HE. We compared commonly used definitions of HE in their ability to predict poor outcome as defined by various cutpoints on the modified Rankin Scale (mRS).","author":[{"dropping-particle":"","family":"Dowlatshahi","given":"D.","non-dropping-particle":"","parse-names":false,"suffix":""},{"dropping-particle":"","family":"Demchuk","given":"a. M.","non-dropping-particle":"","parse-names":false,"suffix":""},{"dropping-particle":"","family":"Flaherty","given":"M. L.","non-dropping-particle":"","parse-names":false,"suffix":""},{"dropping-particle":"","family":"Ali","given":"M.","non-dropping-particle":"","parse-names":false,"suffix":""},{"dropping-particle":"","family":"Lyden","given":"P. L.","non-dropping-particle":"","parse-names":false,"suffix":""},{"dropping-particle":"","family":"Smith","given":"E. E.","non-dropping-particle":"","parse-names":false,"suffix":""}],"container-title":"Neurology","id":"ITEM-1","issue":"14","issued":{"date-parts":[["2011"]]},"page":"1238-1244","title":"Defining hematoma expansion in intracerebral hemorrhage: Relationship with patient outcomes","type":"article-journal","volume":"76"},"uris":["http://www.mendeley.com/documents/?uuid=c77c2a2d-9c82-48c5-91d8-687769ded906"]}],"mendeley":{"formattedCitation":"&lt;sup&gt;6&lt;/sup&gt;","plainTextFormattedCitation":"6","previouslyFormattedCitation":"&lt;sup&gt;6&lt;/sup&gt;"},"properties":{"noteIndex":0},"schema":"https://github.com/citation-style-language/schema/raw/master/csl-citation.json"}</w:instrText>
      </w:r>
      <w:r w:rsidR="009134B6" w:rsidRPr="006A1593">
        <w:rPr>
          <w:i/>
          <w:sz w:val="24"/>
          <w:szCs w:val="24"/>
          <w:shd w:val="clear" w:color="auto" w:fill="FFFFFF"/>
          <w:lang w:val="en-US"/>
        </w:rPr>
        <w:fldChar w:fldCharType="separate"/>
      </w:r>
      <w:r w:rsidR="00A744D0" w:rsidRPr="006A1593">
        <w:rPr>
          <w:noProof/>
          <w:sz w:val="24"/>
          <w:szCs w:val="24"/>
          <w:shd w:val="clear" w:color="auto" w:fill="FFFFFF"/>
          <w:vertAlign w:val="superscript"/>
          <w:lang w:val="en-US"/>
        </w:rPr>
        <w:t>6</w:t>
      </w:r>
      <w:r w:rsidR="009134B6" w:rsidRPr="006A1593">
        <w:rPr>
          <w:i/>
          <w:sz w:val="24"/>
          <w:szCs w:val="24"/>
          <w:shd w:val="clear" w:color="auto" w:fill="FFFFFF"/>
          <w:lang w:val="en-US"/>
        </w:rPr>
        <w:fldChar w:fldCharType="end"/>
      </w:r>
      <w:r w:rsidRPr="006A1593">
        <w:rPr>
          <w:i/>
          <w:sz w:val="24"/>
          <w:szCs w:val="24"/>
          <w:shd w:val="clear" w:color="auto" w:fill="FFFFFF"/>
          <w:lang w:val="en-US"/>
        </w:rPr>
        <w:t> </w:t>
      </w:r>
    </w:p>
    <w:p w:rsidR="00460669" w:rsidRPr="006A1593" w:rsidRDefault="00460669">
      <w:pPr>
        <w:numPr>
          <w:ilvl w:val="0"/>
          <w:numId w:val="4"/>
        </w:numPr>
        <w:rPr>
          <w:sz w:val="24"/>
          <w:szCs w:val="24"/>
          <w:shd w:val="clear" w:color="auto" w:fill="FFFFFF"/>
          <w:lang w:val="en-US"/>
        </w:rPr>
      </w:pPr>
      <w:r w:rsidRPr="006A1593">
        <w:rPr>
          <w:sz w:val="24"/>
          <w:szCs w:val="24"/>
          <w:shd w:val="clear" w:color="auto" w:fill="FFFFFF"/>
          <w:lang w:val="en-US"/>
        </w:rPr>
        <w:t>A combined relative/absolute cut-off such as &gt;6mL and/or &gt;33</w:t>
      </w:r>
      <w:r w:rsidR="001C3378" w:rsidRPr="006A1593">
        <w:rPr>
          <w:sz w:val="24"/>
          <w:szCs w:val="24"/>
          <w:shd w:val="clear" w:color="auto" w:fill="FFFFFF"/>
          <w:lang w:val="en-US"/>
        </w:rPr>
        <w:t>%”</w:t>
      </w:r>
      <w:r w:rsidR="009134B6" w:rsidRPr="006A1593">
        <w:rPr>
          <w:sz w:val="24"/>
          <w:szCs w:val="24"/>
          <w:shd w:val="clear" w:color="auto" w:fill="FFFFFF"/>
          <w:lang w:val="en-US"/>
        </w:rPr>
        <w:fldChar w:fldCharType="begin" w:fldLock="1"/>
      </w:r>
      <w:r w:rsidR="00A744D0" w:rsidRPr="006A1593">
        <w:rPr>
          <w:sz w:val="24"/>
          <w:szCs w:val="24"/>
          <w:shd w:val="clear" w:color="auto" w:fill="FFFFFF"/>
          <w:lang w:val="en-US"/>
        </w:rPr>
        <w:instrText>ADDIN CSL_CITATION {"citationItems":[{"id":"ITEM-1","itemData":{"DOI":"10.1212/WNL.0b013e3182143317","ISSN":"00283878","PMID":"21346218","abstract":"Hematoma expansion (HE) is a surrogate marker in intracerebral hemorrhage (ICH) trials. However, the amount of HE necessary to produce poor outcomes in an individual is unclear; there is no agreement on a clinically meaningful definition of HE. We compared commonly used definitions of HE in their ability to predict poor outcome as defined by various cutpoints on the modified Rankin Scale (mRS).","author":[{"dropping-particle":"","family":"Dowlatshahi","given":"D.","non-dropping-particle":"","parse-names":false,"suffix":""},{"dropping-particle":"","family":"Demchuk","given":"a. M.","non-dropping-particle":"","parse-names":false,"suffix":""},{"dropping-particle":"","family":"Flaherty","given":"M. L.","non-dropping-particle":"","parse-names":false,"suffix":""},{"dropping-particle":"","family":"Ali","given":"M.","non-dropping-particle":"","parse-names":false,"suffix":""},{"dropping-particle":"","family":"Lyden","given":"P. L.","non-dropping-particle":"","parse-names":false,"suffix":""},{"dropping-particle":"","family":"Smith","given":"E. E.","non-dropping-particle":"","parse-names":false,"suffix":""}],"container-title":"Neurology","id":"ITEM-1","issue":"14","issued":{"date-parts":[["2011"]]},"page":"1238-1244","title":"Defining hematoma expansion in intracerebral hemorrhage: Relationship with patient outcomes","type":"article-journal","volume":"76"},"uris":["http://www.mendeley.com/documents/?uuid=c77c2a2d-9c82-48c5-91d8-687769ded906"]}],"mendeley":{"formattedCitation":"&lt;sup&gt;6&lt;/sup&gt;","plainTextFormattedCitation":"6","previouslyFormattedCitation":"&lt;sup&gt;6&lt;/sup&gt;"},"properties":{"noteIndex":0},"schema":"https://github.com/citation-style-language/schema/raw/master/csl-citation.json"}</w:instrText>
      </w:r>
      <w:r w:rsidR="009134B6" w:rsidRPr="006A1593">
        <w:rPr>
          <w:sz w:val="24"/>
          <w:szCs w:val="24"/>
          <w:shd w:val="clear" w:color="auto" w:fill="FFFFFF"/>
          <w:lang w:val="en-US"/>
        </w:rPr>
        <w:fldChar w:fldCharType="separate"/>
      </w:r>
      <w:r w:rsidR="00A744D0" w:rsidRPr="006A1593">
        <w:rPr>
          <w:noProof/>
          <w:sz w:val="24"/>
          <w:szCs w:val="24"/>
          <w:shd w:val="clear" w:color="auto" w:fill="FFFFFF"/>
          <w:vertAlign w:val="superscript"/>
          <w:lang w:val="en-US"/>
        </w:rPr>
        <w:t>6</w:t>
      </w:r>
      <w:r w:rsidR="009134B6" w:rsidRPr="006A1593">
        <w:rPr>
          <w:sz w:val="24"/>
          <w:szCs w:val="24"/>
          <w:shd w:val="clear" w:color="auto" w:fill="FFFFFF"/>
          <w:lang w:val="en-US"/>
        </w:rPr>
        <w:fldChar w:fldCharType="end"/>
      </w:r>
      <w:r w:rsidRPr="006A1593">
        <w:rPr>
          <w:sz w:val="24"/>
          <w:szCs w:val="24"/>
          <w:shd w:val="clear" w:color="auto" w:fill="FFFFFF"/>
          <w:lang w:val="en-US"/>
        </w:rPr>
        <w:t xml:space="preserve"> is</w:t>
      </w:r>
      <w:r w:rsidR="001C3378" w:rsidRPr="006A1593">
        <w:rPr>
          <w:sz w:val="24"/>
          <w:szCs w:val="24"/>
          <w:shd w:val="clear" w:color="auto" w:fill="FFFFFF"/>
          <w:lang w:val="en-US"/>
        </w:rPr>
        <w:t xml:space="preserve"> ideal</w:t>
      </w:r>
      <w:r w:rsidRPr="006A1593">
        <w:rPr>
          <w:sz w:val="24"/>
          <w:szCs w:val="24"/>
          <w:shd w:val="clear" w:color="auto" w:fill="FFFFFF"/>
          <w:lang w:val="en-US"/>
        </w:rPr>
        <w:t xml:space="preserve"> to better consider hemorrhage volume increases in smaller (relative growth) and larger (absolute growth) </w:t>
      </w:r>
      <w:r w:rsidR="0067154C" w:rsidRPr="006A1593">
        <w:rPr>
          <w:sz w:val="24"/>
          <w:szCs w:val="24"/>
          <w:shd w:val="clear" w:color="auto" w:fill="FFFFFF"/>
          <w:lang w:val="en-US"/>
        </w:rPr>
        <w:t>ICH</w:t>
      </w:r>
      <w:r w:rsidRPr="006A1593">
        <w:rPr>
          <w:sz w:val="24"/>
          <w:szCs w:val="24"/>
          <w:shd w:val="clear" w:color="auto" w:fill="FFFFFF"/>
          <w:lang w:val="en-US"/>
        </w:rPr>
        <w:t xml:space="preserve">. </w:t>
      </w:r>
    </w:p>
    <w:p w:rsidR="00460669" w:rsidRPr="006A1593" w:rsidRDefault="00460669">
      <w:pPr>
        <w:numPr>
          <w:ilvl w:val="0"/>
          <w:numId w:val="4"/>
        </w:numPr>
        <w:rPr>
          <w:sz w:val="24"/>
          <w:szCs w:val="24"/>
          <w:shd w:val="clear" w:color="auto" w:fill="FFFFFF"/>
          <w:lang w:val="en-US"/>
        </w:rPr>
      </w:pPr>
      <w:r w:rsidRPr="006A1593">
        <w:rPr>
          <w:sz w:val="24"/>
          <w:szCs w:val="24"/>
          <w:shd w:val="clear" w:color="auto" w:fill="FFFFFF"/>
          <w:lang w:val="en-US"/>
        </w:rPr>
        <w:t xml:space="preserve">We recommend that studies reporting </w:t>
      </w:r>
      <w:r w:rsidR="00932EB9" w:rsidRPr="006A1593">
        <w:rPr>
          <w:sz w:val="24"/>
          <w:szCs w:val="24"/>
          <w:shd w:val="clear" w:color="auto" w:fill="FFFFFF"/>
          <w:lang w:val="en-US"/>
        </w:rPr>
        <w:t>HE</w:t>
      </w:r>
      <w:r w:rsidR="001C3378" w:rsidRPr="006A1593">
        <w:rPr>
          <w:sz w:val="24"/>
          <w:szCs w:val="24"/>
          <w:shd w:val="clear" w:color="auto" w:fill="FFFFFF"/>
          <w:lang w:val="en-US"/>
        </w:rPr>
        <w:t xml:space="preserve"> should select one primary</w:t>
      </w:r>
      <w:r w:rsidRPr="006A1593">
        <w:rPr>
          <w:sz w:val="24"/>
          <w:szCs w:val="24"/>
          <w:shd w:val="clear" w:color="auto" w:fill="FFFFFF"/>
          <w:lang w:val="en-US"/>
        </w:rPr>
        <w:t xml:space="preserve"> </w:t>
      </w:r>
      <w:r w:rsidR="001C3378" w:rsidRPr="006A1593">
        <w:rPr>
          <w:sz w:val="24"/>
          <w:szCs w:val="24"/>
          <w:shd w:val="clear" w:color="auto" w:fill="FFFFFF"/>
          <w:lang w:val="en-US"/>
        </w:rPr>
        <w:t>metric (</w:t>
      </w:r>
      <w:r w:rsidRPr="006A1593">
        <w:rPr>
          <w:sz w:val="24"/>
          <w:szCs w:val="24"/>
          <w:shd w:val="clear" w:color="auto" w:fill="FFFFFF"/>
          <w:lang w:val="en-US"/>
        </w:rPr>
        <w:t>absolute</w:t>
      </w:r>
      <w:r w:rsidR="00F76300" w:rsidRPr="006A1593">
        <w:rPr>
          <w:sz w:val="24"/>
          <w:szCs w:val="24"/>
          <w:shd w:val="clear" w:color="auto" w:fill="FFFFFF"/>
          <w:lang w:val="en-US"/>
        </w:rPr>
        <w:t>/relative/</w:t>
      </w:r>
      <w:r w:rsidR="001C3378" w:rsidRPr="006A1593">
        <w:rPr>
          <w:sz w:val="24"/>
          <w:szCs w:val="24"/>
          <w:shd w:val="clear" w:color="auto" w:fill="FFFFFF"/>
          <w:lang w:val="en-US"/>
        </w:rPr>
        <w:t xml:space="preserve">combined) and explore other definitions of </w:t>
      </w:r>
      <w:r w:rsidR="00932EB9" w:rsidRPr="006A1593">
        <w:rPr>
          <w:sz w:val="24"/>
          <w:szCs w:val="24"/>
          <w:shd w:val="clear" w:color="auto" w:fill="FFFFFF"/>
          <w:lang w:val="en-US"/>
        </w:rPr>
        <w:t>HE</w:t>
      </w:r>
      <w:r w:rsidR="001C3378" w:rsidRPr="006A1593">
        <w:rPr>
          <w:sz w:val="24"/>
          <w:szCs w:val="24"/>
          <w:shd w:val="clear" w:color="auto" w:fill="FFFFFF"/>
          <w:lang w:val="en-US"/>
        </w:rPr>
        <w:t xml:space="preserve"> as secondary outcomes of interest.</w:t>
      </w:r>
      <w:r w:rsidR="009134B6" w:rsidRPr="006A1593">
        <w:rPr>
          <w:sz w:val="24"/>
          <w:szCs w:val="24"/>
          <w:shd w:val="clear" w:color="auto" w:fill="FFFFFF"/>
          <w:lang w:val="en-US"/>
        </w:rPr>
        <w:fldChar w:fldCharType="begin" w:fldLock="1"/>
      </w:r>
      <w:r w:rsidR="00A744D0" w:rsidRPr="006A1593">
        <w:rPr>
          <w:sz w:val="24"/>
          <w:szCs w:val="24"/>
          <w:shd w:val="clear" w:color="auto" w:fill="FFFFFF"/>
          <w:lang w:val="en-US"/>
        </w:rPr>
        <w:instrText>ADDIN CSL_CITATION {"citationItems":[{"id":"ITEM-1","itemData":{"DOI":"10.1212/WNL.0b013e3182143317","ISSN":"00283878","PMID":"21346218","abstract":"Hematoma expansion (HE) is a surrogate marker in intracerebral hemorrhage (ICH) trials. However, the amount of HE necessary to produce poor outcomes in an individual is unclear; there is no agreement on a clinically meaningful definition of HE. We compared commonly used definitions of HE in their ability to predict poor outcome as defined by various cutpoints on the modified Rankin Scale (mRS).","author":[{"dropping-particle":"","family":"Dowlatshahi","given":"D.","non-dropping-particle":"","parse-names":false,"suffix":""},{"dropping-particle":"","family":"Demchuk","given":"a. M.","non-dropping-particle":"","parse-names":false,"suffix":""},{"dropping-particle":"","family":"Flaherty","given":"M. L.","non-dropping-particle":"","parse-names":false,"suffix":""},{"dropping-particle":"","family":"Ali","given":"M.","non-dropping-particle":"","parse-names":false,"suffix":""},{"dropping-particle":"","family":"Lyden","given":"P. L.","non-dropping-particle":"","parse-names":false,"suffix":""},{"dropping-particle":"","family":"Smith","given":"E. E.","non-dropping-particle":"","parse-names":false,"suffix":""}],"container-title":"Neurology","id":"ITEM-1","issue":"14","issued":{"date-parts":[["2011"]]},"page":"1238-1244","title":"Defining hematoma expansion in intracerebral hemorrhage: Relationship with patient outcomes","type":"article-journal","volume":"76"},"uris":["http://www.mendeley.com/documents/?uuid=c77c2a2d-9c82-48c5-91d8-687769ded906"]}],"mendeley":{"formattedCitation":"&lt;sup&gt;6&lt;/sup&gt;","plainTextFormattedCitation":"6","previouslyFormattedCitation":"&lt;sup&gt;6&lt;/sup&gt;"},"properties":{"noteIndex":0},"schema":"https://github.com/citation-style-language/schema/raw/master/csl-citation.json"}</w:instrText>
      </w:r>
      <w:r w:rsidR="009134B6" w:rsidRPr="006A1593">
        <w:rPr>
          <w:sz w:val="24"/>
          <w:szCs w:val="24"/>
          <w:shd w:val="clear" w:color="auto" w:fill="FFFFFF"/>
          <w:lang w:val="en-US"/>
        </w:rPr>
        <w:fldChar w:fldCharType="separate"/>
      </w:r>
      <w:r w:rsidR="00A744D0" w:rsidRPr="006A1593">
        <w:rPr>
          <w:noProof/>
          <w:sz w:val="24"/>
          <w:szCs w:val="24"/>
          <w:shd w:val="clear" w:color="auto" w:fill="FFFFFF"/>
          <w:vertAlign w:val="superscript"/>
          <w:lang w:val="en-US"/>
        </w:rPr>
        <w:t>6</w:t>
      </w:r>
      <w:r w:rsidR="009134B6" w:rsidRPr="006A1593">
        <w:rPr>
          <w:sz w:val="24"/>
          <w:szCs w:val="24"/>
          <w:shd w:val="clear" w:color="auto" w:fill="FFFFFF"/>
          <w:lang w:val="en-US"/>
        </w:rPr>
        <w:fldChar w:fldCharType="end"/>
      </w:r>
      <w:r w:rsidR="001C3378" w:rsidRPr="006A1593">
        <w:rPr>
          <w:sz w:val="24"/>
          <w:szCs w:val="24"/>
          <w:shd w:val="clear" w:color="auto" w:fill="FFFFFF"/>
          <w:lang w:val="en-US"/>
        </w:rPr>
        <w:t xml:space="preserve"> </w:t>
      </w:r>
    </w:p>
    <w:p w:rsidR="00460669" w:rsidRPr="006A1593" w:rsidRDefault="00460669">
      <w:pPr>
        <w:numPr>
          <w:ilvl w:val="0"/>
          <w:numId w:val="4"/>
        </w:numPr>
        <w:rPr>
          <w:i/>
          <w:sz w:val="24"/>
          <w:szCs w:val="24"/>
          <w:shd w:val="clear" w:color="auto" w:fill="FFFFFF"/>
          <w:lang w:val="en-US"/>
        </w:rPr>
      </w:pPr>
      <w:r w:rsidRPr="006A1593">
        <w:rPr>
          <w:sz w:val="24"/>
          <w:szCs w:val="24"/>
          <w:shd w:val="clear" w:color="auto" w:fill="FFFFFF"/>
          <w:lang w:val="en-US"/>
        </w:rPr>
        <w:t xml:space="preserve">The ideal timing for assessing </w:t>
      </w:r>
      <w:r w:rsidR="00E64FFC" w:rsidRPr="006A1593">
        <w:rPr>
          <w:sz w:val="24"/>
          <w:szCs w:val="24"/>
          <w:shd w:val="clear" w:color="auto" w:fill="FFFFFF"/>
          <w:lang w:val="en-US"/>
        </w:rPr>
        <w:t>HE</w:t>
      </w:r>
      <w:r w:rsidRPr="006A1593">
        <w:rPr>
          <w:sz w:val="24"/>
          <w:szCs w:val="24"/>
          <w:shd w:val="clear" w:color="auto" w:fill="FFFFFF"/>
          <w:lang w:val="en-US"/>
        </w:rPr>
        <w:t xml:space="preserve"> is unknown, however since </w:t>
      </w:r>
      <w:r w:rsidR="00E64FFC" w:rsidRPr="006A1593">
        <w:rPr>
          <w:sz w:val="24"/>
          <w:szCs w:val="24"/>
          <w:shd w:val="clear" w:color="auto" w:fill="FFFFFF"/>
          <w:lang w:val="en-US"/>
        </w:rPr>
        <w:t>HE</w:t>
      </w:r>
      <w:r w:rsidR="0067154C" w:rsidRPr="006A1593">
        <w:rPr>
          <w:sz w:val="24"/>
          <w:szCs w:val="24"/>
          <w:shd w:val="clear" w:color="auto" w:fill="FFFFFF"/>
          <w:lang w:val="en-US"/>
        </w:rPr>
        <w:t xml:space="preserve"> is more</w:t>
      </w:r>
      <w:r w:rsidRPr="006A1593">
        <w:rPr>
          <w:sz w:val="24"/>
          <w:szCs w:val="24"/>
          <w:shd w:val="clear" w:color="auto" w:fill="FFFFFF"/>
          <w:lang w:val="en-US"/>
        </w:rPr>
        <w:t xml:space="preserve"> common before 24</w:t>
      </w:r>
      <w:r w:rsidR="0058289C" w:rsidRPr="006A1593">
        <w:rPr>
          <w:sz w:val="24"/>
          <w:szCs w:val="24"/>
          <w:shd w:val="clear" w:color="auto" w:fill="FFFFFF"/>
          <w:lang w:val="en-US"/>
        </w:rPr>
        <w:t xml:space="preserve"> </w:t>
      </w:r>
      <w:r w:rsidRPr="006A1593">
        <w:rPr>
          <w:sz w:val="24"/>
          <w:szCs w:val="24"/>
          <w:shd w:val="clear" w:color="auto" w:fill="FFFFFF"/>
          <w:lang w:val="en-US"/>
        </w:rPr>
        <w:t xml:space="preserve">h,  </w:t>
      </w:r>
      <w:r w:rsidR="00443B48" w:rsidRPr="006A1593">
        <w:rPr>
          <w:sz w:val="24"/>
          <w:szCs w:val="24"/>
          <w:shd w:val="clear" w:color="auto" w:fill="FFFFFF"/>
          <w:lang w:val="en-US"/>
        </w:rPr>
        <w:t>we</w:t>
      </w:r>
      <w:r w:rsidRPr="006A1593">
        <w:rPr>
          <w:sz w:val="24"/>
          <w:szCs w:val="24"/>
          <w:shd w:val="clear" w:color="auto" w:fill="FFFFFF"/>
          <w:lang w:val="en-US"/>
        </w:rPr>
        <w:t xml:space="preserve"> recommend a minimum of 24 h before repeat imaging to assess final hemorrhage volume (if the patient is clinically stable); conversely, since edema and hemorrhage changes potentially influencing planimetric measurements begin to develop early after onset</w:t>
      </w:r>
      <w:r w:rsidR="002F4652" w:rsidRPr="006A1593">
        <w:rPr>
          <w:sz w:val="24"/>
          <w:szCs w:val="24"/>
          <w:shd w:val="clear" w:color="auto" w:fill="FFFFFF"/>
          <w:lang w:val="en-US"/>
        </w:rPr>
        <w:t>,</w:t>
      </w:r>
      <w:r w:rsidR="009134B6" w:rsidRPr="006A1593">
        <w:rPr>
          <w:sz w:val="24"/>
          <w:szCs w:val="24"/>
          <w:shd w:val="clear" w:color="auto" w:fill="FFFFFF"/>
          <w:lang w:val="en-US"/>
        </w:rPr>
        <w:fldChar w:fldCharType="begin" w:fldLock="1"/>
      </w:r>
      <w:r w:rsidR="00BA1458" w:rsidRPr="006A1593">
        <w:rPr>
          <w:sz w:val="24"/>
          <w:szCs w:val="24"/>
          <w:shd w:val="clear" w:color="auto" w:fill="FFFFFF"/>
          <w:lang w:val="en-US"/>
        </w:rPr>
        <w:instrText>ADDIN CSL_CITATION {"citationItems":[{"id":"ITEM-1","itemData":{"DOI":"10.1161/STROKEAHA.115.010054","ISBN":"0039-2499","ISSN":"15244628","PMID":"26396030","abstract":"BACKGROUND AND PURPOSE: Perihematomal edema (PHE) is associated with poor outcomes after intracerebral hemorrhage (ICH). PHE evolves in the early period after ICH, providing a therapeutic target and window for intervention. We studied the effect of PHE volume expansion in the first 72 hours (iPHE) and its relationship with functional outcomes.\\n\\nMETHODS: We used data contained in the Virtual International Stroke Trials Archive. We included patients who presented within 6 hours of symptom onset, had baseline clinical, radiological, and laboratory data, and further computed tomographic scan data at 72 hours and 90-day functional outcomes. We calculated iPHE and used logistic regression analysis to assess relationships with outcome. We adjusted for confounding variables and the primary outcome measure poor day-90 outcome (defined as modifie</w:instrText>
      </w:r>
      <w:r w:rsidR="00BA1458" w:rsidRPr="006A1593">
        <w:rPr>
          <w:rFonts w:hint="eastAsia"/>
          <w:sz w:val="24"/>
          <w:szCs w:val="24"/>
          <w:shd w:val="clear" w:color="auto" w:fill="FFFFFF"/>
          <w:lang w:val="en-US"/>
        </w:rPr>
        <w:instrText xml:space="preserve">d Rankin Scale score of </w:instrText>
      </w:r>
      <w:r w:rsidR="00BA1458" w:rsidRPr="006A1593">
        <w:rPr>
          <w:rFonts w:hint="eastAsia"/>
          <w:sz w:val="24"/>
          <w:szCs w:val="24"/>
          <w:shd w:val="clear" w:color="auto" w:fill="FFFFFF"/>
          <w:lang w:val="en-US"/>
        </w:rPr>
        <w:instrText>≥</w:instrText>
      </w:r>
      <w:r w:rsidR="00BA1458" w:rsidRPr="006A1593">
        <w:rPr>
          <w:rFonts w:hint="eastAsia"/>
          <w:sz w:val="24"/>
          <w:szCs w:val="24"/>
          <w:shd w:val="clear" w:color="auto" w:fill="FFFFFF"/>
          <w:lang w:val="en-US"/>
        </w:rPr>
        <w:instrText>3. We performed subgroup analyses by location and by volume of ICH.\\n\\nRESULTS: We included 596 patients with ICH. Median baseline hematoma volume was 15.0 mL (IQR, 7.9-29.2) and median baseline PHE volume was 8.7 mL (IQR, 4.5-1</w:instrText>
      </w:r>
      <w:r w:rsidR="00BA1458" w:rsidRPr="006A1593">
        <w:rPr>
          <w:sz w:val="24"/>
          <w:szCs w:val="24"/>
          <w:shd w:val="clear" w:color="auto" w:fill="FFFFFF"/>
          <w:lang w:val="en-US"/>
        </w:rPr>
        <w:instrText>5.5). Hematoma expansion occurred in 122 (34.9%) patients. Median iPHE was 14.7 mL (IQR, 6.6-30.3). The odds of a poor outcome were greater with increasing iPHE (OR, 1.78; CI, 1.12-2.64 per mL increase). Subgroup analyses showed that iPHE was only related to poor functional outcomes in basal ganglia and small (&lt;30 mL) ICH.\\n\\nCONCLUSIONS: Absolute increase in PHE during 72 hours was associated with worse functional outcomes after ICH, particularly with basal ganglia ICH and hematomas &lt;30 mL.","author":[{"dropping-particle":"","family":"Murthy","given":"Santosh B.","non-dropping-particle":"","parse-names":false,"suffix":""},{"dropping-particle":"","family":"Moradiya","given":"Yogesh","non-dropping-particle":"","parse-names":false,"suffix":""},{"dropping-particle":"","family":"Dawson","given":"Jesse","non-dropping-particle":"","parse-names":false,"suffix":""},{"dropping-particle":"","family":"Lees","given":"Kennedy R.","non-dropping-particle":"","parse-names":false,"suffix":""},{"dropping-particle":"","family":"Hanley","given":"Daniel F.","non-dropping-particle":"","parse-names":false,"suffix":""},{"dropping-particle":"","family":"Ziai","given":"Wendy C.","non-dropping-particle":"","parse-names":false,"suffix":""}],"container-title":"Stroke","id":"ITEM-1","issue":"11","issued":{"date-parts":[["2015"]]},"page":"3088-3092","title":"Perihematomal Edema and Functional Outcomes in Intracerebral Hemorrhage: Influence of Hematoma Volume and Location","type":"article-journal","volume":"46"},"uris":["http://www.mendeley.com/documents/?uuid=c292f1db-a2f5-4f1e-bb05-8083ba0fca4b"]}],"mendeley":{"formattedCitation":"&lt;sup&gt;70&lt;/sup&gt;","plainTextFormattedCitation":"70","previouslyFormattedCitation":"&lt;sup&gt;70&lt;/sup&gt;"},"properties":{"noteIndex":0},"schema":"https://github.com/citation-style-language/schema/raw/master/csl-citation.json"}</w:instrText>
      </w:r>
      <w:r w:rsidR="009134B6" w:rsidRPr="006A1593">
        <w:rPr>
          <w:sz w:val="24"/>
          <w:szCs w:val="24"/>
          <w:shd w:val="clear" w:color="auto" w:fill="FFFFFF"/>
          <w:lang w:val="en-US"/>
        </w:rPr>
        <w:fldChar w:fldCharType="separate"/>
      </w:r>
      <w:r w:rsidR="00BA1458" w:rsidRPr="006A1593">
        <w:rPr>
          <w:noProof/>
          <w:sz w:val="24"/>
          <w:szCs w:val="24"/>
          <w:shd w:val="clear" w:color="auto" w:fill="FFFFFF"/>
          <w:vertAlign w:val="superscript"/>
          <w:lang w:val="en-US"/>
        </w:rPr>
        <w:t>70</w:t>
      </w:r>
      <w:r w:rsidR="009134B6" w:rsidRPr="006A1593">
        <w:rPr>
          <w:sz w:val="24"/>
          <w:szCs w:val="24"/>
          <w:shd w:val="clear" w:color="auto" w:fill="FFFFFF"/>
          <w:lang w:val="en-US"/>
        </w:rPr>
        <w:fldChar w:fldCharType="end"/>
      </w:r>
      <w:r w:rsidRPr="006A1593">
        <w:rPr>
          <w:sz w:val="24"/>
          <w:szCs w:val="24"/>
          <w:shd w:val="clear" w:color="auto" w:fill="FFFFFF"/>
          <w:lang w:val="en-US"/>
        </w:rPr>
        <w:t xml:space="preserve"> </w:t>
      </w:r>
      <w:r w:rsidR="002F4652" w:rsidRPr="006A1593">
        <w:rPr>
          <w:sz w:val="24"/>
          <w:szCs w:val="24"/>
          <w:shd w:val="clear" w:color="auto" w:fill="FFFFFF"/>
          <w:lang w:val="en-US"/>
        </w:rPr>
        <w:t>we</w:t>
      </w:r>
      <w:r w:rsidRPr="006A1593">
        <w:rPr>
          <w:sz w:val="24"/>
          <w:szCs w:val="24"/>
          <w:shd w:val="clear" w:color="auto" w:fill="FFFFFF"/>
          <w:lang w:val="en-US"/>
        </w:rPr>
        <w:t xml:space="preserve"> recommend that patients should not be re-scanned after 72</w:t>
      </w:r>
      <w:r w:rsidR="0058289C" w:rsidRPr="006A1593">
        <w:rPr>
          <w:sz w:val="24"/>
          <w:szCs w:val="24"/>
          <w:shd w:val="clear" w:color="auto" w:fill="FFFFFF"/>
          <w:lang w:val="en-US"/>
        </w:rPr>
        <w:t xml:space="preserve"> </w:t>
      </w:r>
      <w:r w:rsidRPr="006A1593">
        <w:rPr>
          <w:sz w:val="24"/>
          <w:szCs w:val="24"/>
          <w:shd w:val="clear" w:color="auto" w:fill="FFFFFF"/>
          <w:lang w:val="en-US"/>
        </w:rPr>
        <w:t xml:space="preserve">h with purpose of detecting </w:t>
      </w:r>
      <w:r w:rsidR="00E64FFC" w:rsidRPr="006A1593">
        <w:rPr>
          <w:sz w:val="24"/>
          <w:szCs w:val="24"/>
          <w:shd w:val="clear" w:color="auto" w:fill="FFFFFF"/>
          <w:lang w:val="en-US"/>
        </w:rPr>
        <w:t>HE</w:t>
      </w:r>
      <w:r w:rsidRPr="006A1593">
        <w:rPr>
          <w:sz w:val="24"/>
          <w:szCs w:val="24"/>
          <w:shd w:val="clear" w:color="auto" w:fill="FFFFFF"/>
          <w:lang w:val="en-US"/>
        </w:rPr>
        <w:t>.</w:t>
      </w:r>
    </w:p>
    <w:p w:rsidR="00460669" w:rsidRPr="006A1593" w:rsidRDefault="00460669">
      <w:pPr>
        <w:pStyle w:val="Heading3"/>
        <w:rPr>
          <w:rFonts w:ascii="Times New Roman" w:hAnsi="Times New Roman"/>
          <w:sz w:val="24"/>
          <w:szCs w:val="24"/>
          <w:lang w:val="en-US"/>
        </w:rPr>
      </w:pPr>
      <w:r w:rsidRPr="006A1593">
        <w:rPr>
          <w:rFonts w:ascii="Times New Roman" w:hAnsi="Times New Roman"/>
          <w:sz w:val="24"/>
          <w:szCs w:val="24"/>
          <w:lang w:val="en-US"/>
        </w:rPr>
        <w:t>Intraventricular component</w:t>
      </w:r>
    </w:p>
    <w:p w:rsidR="00460669" w:rsidRPr="006A1593" w:rsidRDefault="00460669">
      <w:pPr>
        <w:rPr>
          <w:color w:val="222222"/>
          <w:sz w:val="24"/>
          <w:szCs w:val="24"/>
          <w:shd w:val="clear" w:color="auto" w:fill="FFFFFF"/>
          <w:lang w:val="en-US"/>
        </w:rPr>
      </w:pPr>
      <w:r w:rsidRPr="006A1593">
        <w:rPr>
          <w:sz w:val="24"/>
          <w:szCs w:val="24"/>
          <w:lang w:val="en-US"/>
        </w:rPr>
        <w:t xml:space="preserve">The presence and development of </w:t>
      </w:r>
      <w:r w:rsidR="0067154C" w:rsidRPr="006A1593">
        <w:rPr>
          <w:sz w:val="24"/>
          <w:szCs w:val="24"/>
          <w:lang w:val="en-US"/>
        </w:rPr>
        <w:t>IVH</w:t>
      </w:r>
      <w:r w:rsidRPr="006A1593">
        <w:rPr>
          <w:sz w:val="24"/>
          <w:szCs w:val="24"/>
          <w:lang w:val="en-US"/>
        </w:rPr>
        <w:t xml:space="preserve"> poses additional challenges. IVH can distort anatomical landmarks and obscure the boundaries between parenchymal and ventricular hematomas, thereby contributing to measurement error.</w:t>
      </w:r>
      <w:r w:rsidR="009134B6" w:rsidRPr="006A1593">
        <w:rPr>
          <w:sz w:val="24"/>
          <w:szCs w:val="24"/>
          <w:lang w:val="en-US"/>
        </w:rPr>
        <w:fldChar w:fldCharType="begin" w:fldLock="1"/>
      </w:r>
      <w:r w:rsidR="00BA1458" w:rsidRPr="006A1593">
        <w:rPr>
          <w:sz w:val="24"/>
          <w:szCs w:val="24"/>
          <w:lang w:val="en-US"/>
        </w:rPr>
        <w:instrText>ADDIN CSL_CITATION {"citationItems":[{"id":"ITEM-1","itemData":{"DOI":"10.1161/STROKEAHA.112.654970","ISSN":"1524-4628","PMID":"22588267","abstract":"BACKGROUND AND PURPOSE Reliable quantification of both intracerebral hemorrhage and intraventricular hemorrhage (IVH) volume is important for hemostatic trials. We evaluated the reliability of computer-assisted planimetric volume measurements of IVH. METHODS Computer-assisted planimetry was used to quantify IVH volume. Five raters measured IVH volumes, total (intracerebral hemorrhage+IVH) volumes, and Graeb scores from 20 randomly selected computed tomography scans twice. Estimates of interrater and intrarater reliability were calculated and expressed as an intrarater correlation coefficient and an absolute minimum detectable difference. RESULTS Planimetric IVH volume analysis had excellent intra- and interrater agreement (intrarater correlation coefficient, 0.96 and 0.92, respectively), which was superior to the Graeb score (intrarater correlation coefficient, 0.88 and 0.83). Minimum detectable differences for intra- and interrater volumes were 12.1 mL and 17.3 mL, and were dependent on the total size of the hematoma; hematomas smaller than the median 43.8 mL had lower minimum detectable differences, whereas those larger than the median had higher minimum detectable differences. Planimetric total hemorrhage volume analysis had the best intra- and interrater agreement (intrarater correlation coefficient, 0.99 and 0.97, respectively). CONCLUSIONS Computer-assisted planimetric techniques provide a reliable measurement of ventricular hematoma volume, but are susceptible to higher absolute error when assessing larger hematomas.","author":[{"dropping-particle":"","family":"Dowlatshahi","given":"Dar","non-dropping-particle":"","parse-names":false,"suffix":""},{"dropping-particle":"","family":"Kosior","given":"Jayme C","non-dropping-particle":"","parse-names":false,"suffix":""},{"dropping-particle":"","family":"Idris","given":"Sherif","non-dropping-particle":"","parse-names":false,"suffix":""},{"dropping-particle":"","family":"Eesa","given":"Muneer","non-dropping-particle":"","parse-names":false,"suffix":""},{"dropping-particle":"","family":"Dickhoff","given":"Peter","non-dropping-particle":"","parse-names":false,"suffix":""},{"dropping-particle":"","family":"Joshi","given":"Manish","non-dropping-particle":"","parse-names":false,"suffix":""},{"dropping-particle":"","family":"Subramaniam","given":"Suresh","non-dropping-particle":"","parse-names":false,"suffix":""},{"dropping-particle":"","family":"Tymchuk","given":"Sarah","non-dropping-particle":"","parse-names":false,"suffix":""},{"dropping-particle":"","family":"Hill","given":"Michael D","non-dropping-particle":"","parse-names":false,"suffix":""},{"dropping-particle":"","family":"Aviv","given":"Richard I","non-dropping-particle":"","parse-names":false,"suffix":""},{"dropping-particle":"","family":"Frayne","given":"Richard","non-dropping-particle":"","parse-names":false,"suffix":""},{"dropping-particle":"","family":"Demchuk","given":"Andrew M","non-dropping-particle":"","parse-names":false,"suffix":""},{"dropping-particle":"","family":"PREDICT/Sunnybrook ICH-CTA study group","given":"","non-dropping-particle":"","parse-names":false,"suffix":""}],"container-title":"Stroke","id":"ITEM-1","issue":"7","issued":{"date-parts":[["2012","7","1"]]},"page":"1961-3","title":"Planimetric hematoma measurement in patients with intraventricular hemorrhage: is total volume a preferred target for reliable analysis?","type":"article-journal","volume":"43"},"uris":["http://www.mendeley.com/documents/?uuid=73ff0ae6-afa2-3211-aa74-d82df780411f"]}],"mendeley":{"formattedCitation":"&lt;sup&gt;71&lt;/sup&gt;","plainTextFormattedCitation":"71","previouslyFormattedCitation":"&lt;sup&gt;71&lt;/sup&gt;"},"properties":{"noteIndex":0},"schema":"https://github.com/citation-style-language/schema/raw/master/csl-citation.json"}</w:instrText>
      </w:r>
      <w:r w:rsidR="009134B6" w:rsidRPr="006A1593">
        <w:rPr>
          <w:sz w:val="24"/>
          <w:szCs w:val="24"/>
          <w:lang w:val="en-US"/>
        </w:rPr>
        <w:fldChar w:fldCharType="separate"/>
      </w:r>
      <w:r w:rsidR="00BA1458" w:rsidRPr="006A1593">
        <w:rPr>
          <w:noProof/>
          <w:sz w:val="24"/>
          <w:szCs w:val="24"/>
          <w:vertAlign w:val="superscript"/>
          <w:lang w:val="en-US"/>
        </w:rPr>
        <w:t>71</w:t>
      </w:r>
      <w:r w:rsidR="009134B6" w:rsidRPr="006A1593">
        <w:rPr>
          <w:sz w:val="24"/>
          <w:szCs w:val="24"/>
          <w:lang w:val="en-US"/>
        </w:rPr>
        <w:fldChar w:fldCharType="end"/>
      </w:r>
      <w:r w:rsidRPr="006A1593">
        <w:rPr>
          <w:sz w:val="24"/>
          <w:szCs w:val="24"/>
          <w:lang w:val="en-US"/>
        </w:rPr>
        <w:t xml:space="preserve"> Furthermore, decompression of a parenchymal hematoma into the ventricular space can mask </w:t>
      </w:r>
      <w:r w:rsidR="00E64FFC" w:rsidRPr="006A1593">
        <w:rPr>
          <w:sz w:val="24"/>
          <w:szCs w:val="24"/>
          <w:lang w:val="en-US"/>
        </w:rPr>
        <w:t>HE</w:t>
      </w:r>
      <w:r w:rsidRPr="006A1593">
        <w:rPr>
          <w:sz w:val="24"/>
          <w:szCs w:val="24"/>
          <w:lang w:val="en-US"/>
        </w:rPr>
        <w:t xml:space="preserve"> if only the parenchymal</w:t>
      </w:r>
      <w:r w:rsidR="002F4652" w:rsidRPr="006A1593">
        <w:rPr>
          <w:sz w:val="24"/>
          <w:szCs w:val="24"/>
          <w:lang w:val="en-US"/>
        </w:rPr>
        <w:t xml:space="preserve"> </w:t>
      </w:r>
      <w:r w:rsidRPr="006A1593">
        <w:rPr>
          <w:sz w:val="24"/>
          <w:szCs w:val="24"/>
          <w:lang w:val="en-US"/>
        </w:rPr>
        <w:t>component is measured and reported, thereby underestimating the predictive performance of a radiological marker.</w:t>
      </w:r>
      <w:r w:rsidR="009134B6" w:rsidRPr="006A1593">
        <w:rPr>
          <w:sz w:val="24"/>
          <w:szCs w:val="24"/>
          <w:lang w:val="en-US"/>
        </w:rPr>
        <w:fldChar w:fldCharType="begin" w:fldLock="1"/>
      </w:r>
      <w:r w:rsidR="00BA1458" w:rsidRPr="006A1593">
        <w:rPr>
          <w:sz w:val="24"/>
          <w:szCs w:val="24"/>
          <w:lang w:val="en-US"/>
        </w:rPr>
        <w:instrText>ADDIN CSL_CITATION {"citationItems":[{"id":"ITEM-1","itemData":{"DOI":"10.1161/STROKEAHA.117.018716","ISSN":"1524-4628","PMID":"29167385","abstract":"BACKGROUND AND PURPOSE The computed tomographic angiography spot sign as a predictor of hematoma expansion is limited by its modest sensitivity and positive predictive value. It is possible that hematoma expansion in spot-positive patients is missed because of decompression of intracerebral hemorrhage (ICH) into the ventricular space. We hypothesized that revising hematoma expansion definitions to include intraventricular hemorrhage (IVH) expansion will improve the predictive performance of the spot sign. Our objectives were to determine the proportion of ICH nonexpanders who actually have IVH expansion, determine the proportion of false-positive spot signs that have IVH expansion, and compare the known predictive performance of the spot sign to a revised definition incorporating IVH expansion. METHODS We analyzed patients from the multicenter PREDICT ICH sp</w:instrText>
      </w:r>
      <w:r w:rsidR="00BA1458" w:rsidRPr="006A1593">
        <w:rPr>
          <w:rFonts w:hint="eastAsia"/>
          <w:sz w:val="24"/>
          <w:szCs w:val="24"/>
          <w:lang w:val="en-US"/>
        </w:rPr>
        <w:instrText xml:space="preserve">ot sign study. We defined hematoma expansion as </w:instrText>
      </w:r>
      <w:r w:rsidR="00BA1458" w:rsidRPr="006A1593">
        <w:rPr>
          <w:rFonts w:hint="eastAsia"/>
          <w:sz w:val="24"/>
          <w:szCs w:val="24"/>
          <w:lang w:val="en-US"/>
        </w:rPr>
        <w:instrText>≥</w:instrText>
      </w:r>
      <w:r w:rsidR="00BA1458" w:rsidRPr="006A1593">
        <w:rPr>
          <w:rFonts w:hint="eastAsia"/>
          <w:sz w:val="24"/>
          <w:szCs w:val="24"/>
          <w:lang w:val="en-US"/>
        </w:rPr>
        <w:instrText xml:space="preserve">6 mL or </w:instrText>
      </w:r>
      <w:r w:rsidR="00BA1458" w:rsidRPr="006A1593">
        <w:rPr>
          <w:rFonts w:hint="eastAsia"/>
          <w:sz w:val="24"/>
          <w:szCs w:val="24"/>
          <w:lang w:val="en-US"/>
        </w:rPr>
        <w:instrText>≥</w:instrText>
      </w:r>
      <w:r w:rsidR="00BA1458" w:rsidRPr="006A1593">
        <w:rPr>
          <w:rFonts w:hint="eastAsia"/>
          <w:sz w:val="24"/>
          <w:szCs w:val="24"/>
          <w:lang w:val="en-US"/>
        </w:rPr>
        <w:instrText xml:space="preserve">33% ICH expansion or &gt;2 mL IVH expansion and compared spot sign performance using this revised definition with the conventional 6 mL/33% definition using receiver operating curve analysis. RESULTS Of 311 patients, 213 did not meet the 6-mL/33% expansion definition (nonexpanders). Only 13 of 213 (6.1%) nonexpanders had </w:instrText>
      </w:r>
      <w:r w:rsidR="00BA1458" w:rsidRPr="006A1593">
        <w:rPr>
          <w:rFonts w:hint="eastAsia"/>
          <w:sz w:val="24"/>
          <w:szCs w:val="24"/>
          <w:lang w:val="en-US"/>
        </w:rPr>
        <w:instrText>≥</w:instrText>
      </w:r>
      <w:r w:rsidR="00BA1458" w:rsidRPr="006A1593">
        <w:rPr>
          <w:rFonts w:hint="eastAsia"/>
          <w:sz w:val="24"/>
          <w:szCs w:val="24"/>
          <w:lang w:val="en-US"/>
        </w:rPr>
        <w:instrText>2 mL IVH expansion. Of the false-positive spot signs, 4 of 40 (10%) had &gt;2 mL ventricular expansion. The area under the curve for s</w:instrText>
      </w:r>
      <w:r w:rsidR="00BA1458" w:rsidRPr="006A1593">
        <w:rPr>
          <w:sz w:val="24"/>
          <w:szCs w:val="24"/>
          <w:lang w:val="en-US"/>
        </w:rPr>
        <w:instrText>pot sign to predict significant ICH expansion was 0.65 (95% confidence interval, 0.58-0.72), which was no different than when IVH expansion was added to the definition (area under the curve, 0.66; 95% confidence interval, 0.58-0.71). CONCLUSIONS Although IVH expansion does indeed occur in a minority of ICH nonexpanders, its inclusion into a revised hematoma expansion definition does not alter the predictive performance of the spot sign.","author":[{"dropping-particle":"","family":"Dowlatshahi","given":"Dar","non-dropping-particle":"","parse-names":false,"suffix":""},{"dropping-particle":"","family":"Deshpande","given":"Anirudda","non-dropping-particle":"","parse-names":false,"suffix":""},{"dropping-particle":"","family":"Aviv","given":"Richard I","non-dropping-particle":"","parse-names":false,"suffix":""},{"dropping-particle":"","family":"Rodriguez-Luna","given":"David","non-dropping-particle":"","parse-names":false,"suffix":""},{"dropping-particle":"","family":"Molina","given":"Carlos A","non-dropping-particle":"","parse-names":false,"suffix":""},{"dropping-particle":"","family":"Blas","given":"Yolanda Silva","non-dropping-particle":"","parse-names":false,"suffix":""},{"dropping-particle":"","family":"Dzialowski","given":"Imanuel","non-dropping-particle":"","parse-names":false,"suffix":""},{"dropping-particle":"","family":"Kobayashi","given":"Adam","non-dropping-particle":"","parse-names":false,"suffix":""},{"dropping-particle":"","family":"Boulanger","given":"Jean-Martin","non-dropping-particle":"","parse-names":false,"suffix":""},{"dropping-particle":"","family":"Lum","given":"Cheemun","non-dropping-particle":"","parse-names":false,"suffix":""},{"dropping-particle":"","family":"Gubitz","given":"Gordon J","non-dropping-particle":"","parse-names":false,"suffix":""},{"dropping-particle":"","family":"Padma","given":"Vasantha","non-dropping-particle":"","parse-names":false,"suffix":""},{"dropping-particle":"","family":"Roy","given":"Jayanta","non-dropping-particle":"","parse-names":false,"suffix":""},{"dropping-particle":"","family":"Kase","given":"Carlos S","non-dropping-particle":"","parse-names":false,"suffix":""},{"dropping-particle":"","family":"Bhatia","given":"Rohit","non-dropping-particle":"","parse-names":false,"suffix":""},{"dropping-particle":"","family":"Hill","given":"Michael D","non-dropping-particle":"","parse-names":false,"suffix":""},{"dropping-particle":"","family":"Demchuk","given":"Andrew M","non-dropping-particle":"","parse-names":false,"suffix":""},{"dropping-particle":"","family":"PREDICT ICH CTA Study Group","given":"","non-dropping-particle":"","parse-names":false,"suffix":""}],"container-title":"Stroke","id":"ITEM-1","issue":"1","issued":{"date-parts":[["2018","1"]]},"page":"201-203","title":"Do Intracerebral Hemorrhage Nonexpanders Actually Expand Into the Ventricular Space?","type":"article-journal","volume":"49"},"uris":["http://www.mendeley.com/documents/?uuid=b6dad0cf-8127-364d-a54e-0192537bf345"]}],"mendeley":{"formattedCitation":"&lt;sup&gt;72&lt;/sup&gt;","plainTextFormattedCitation":"72","previouslyFormattedCitation":"&lt;sup&gt;72&lt;/sup&gt;"},"properties":{"noteIndex":0},"schema":"https://github.com/citation-style-language/schema/raw/master/csl-citation.json"}</w:instrText>
      </w:r>
      <w:r w:rsidR="009134B6" w:rsidRPr="006A1593">
        <w:rPr>
          <w:sz w:val="24"/>
          <w:szCs w:val="24"/>
          <w:lang w:val="en-US"/>
        </w:rPr>
        <w:fldChar w:fldCharType="separate"/>
      </w:r>
      <w:r w:rsidR="00BA1458" w:rsidRPr="006A1593">
        <w:rPr>
          <w:noProof/>
          <w:sz w:val="24"/>
          <w:szCs w:val="24"/>
          <w:vertAlign w:val="superscript"/>
          <w:lang w:val="en-US"/>
        </w:rPr>
        <w:t>72</w:t>
      </w:r>
      <w:r w:rsidR="009134B6" w:rsidRPr="006A1593">
        <w:rPr>
          <w:sz w:val="24"/>
          <w:szCs w:val="24"/>
          <w:lang w:val="en-US"/>
        </w:rPr>
        <w:fldChar w:fldCharType="end"/>
      </w:r>
      <w:r w:rsidRPr="006A1593">
        <w:rPr>
          <w:sz w:val="24"/>
          <w:szCs w:val="24"/>
          <w:lang w:val="en-US"/>
        </w:rPr>
        <w:t xml:space="preserve"> For these reasons, outcome reporting should include the absolute total intrac</w:t>
      </w:r>
      <w:r w:rsidR="0067154C" w:rsidRPr="006A1593">
        <w:rPr>
          <w:sz w:val="24"/>
          <w:szCs w:val="24"/>
          <w:lang w:val="en-US"/>
        </w:rPr>
        <w:t>ranial hematoma volume increase (</w:t>
      </w:r>
      <w:proofErr w:type="spellStart"/>
      <w:r w:rsidR="0067154C" w:rsidRPr="006A1593">
        <w:rPr>
          <w:sz w:val="24"/>
          <w:szCs w:val="24"/>
          <w:lang w:val="en-US"/>
        </w:rPr>
        <w:t>parenchymal+</w:t>
      </w:r>
      <w:r w:rsidRPr="006A1593">
        <w:rPr>
          <w:sz w:val="24"/>
          <w:szCs w:val="24"/>
          <w:lang w:val="en-US"/>
        </w:rPr>
        <w:t>ventricular</w:t>
      </w:r>
      <w:proofErr w:type="spellEnd"/>
      <w:r w:rsidRPr="006A1593">
        <w:rPr>
          <w:sz w:val="24"/>
          <w:szCs w:val="24"/>
          <w:lang w:val="en-US"/>
        </w:rPr>
        <w:t xml:space="preserve">), and where possible, the absolute increase of the respective parenchymal and ventricular components. </w:t>
      </w:r>
      <w:r w:rsidRPr="006A1593">
        <w:rPr>
          <w:color w:val="222222"/>
          <w:sz w:val="24"/>
          <w:szCs w:val="24"/>
          <w:shd w:val="clear" w:color="auto" w:fill="FFFFFF"/>
          <w:lang w:val="en-US"/>
        </w:rPr>
        <w:t xml:space="preserve">An arbitrary cut-off of </w:t>
      </w:r>
      <w:r w:rsidRPr="006A1593">
        <w:rPr>
          <w:color w:val="222222"/>
          <w:sz w:val="24"/>
          <w:szCs w:val="24"/>
          <w:u w:val="single"/>
          <w:shd w:val="clear" w:color="auto" w:fill="FFFFFF"/>
          <w:lang w:val="en-US"/>
        </w:rPr>
        <w:t>&gt;</w:t>
      </w:r>
      <w:r w:rsidRPr="006A1593">
        <w:rPr>
          <w:color w:val="222222"/>
          <w:sz w:val="24"/>
          <w:szCs w:val="24"/>
          <w:shd w:val="clear" w:color="auto" w:fill="FFFFFF"/>
          <w:lang w:val="en-US"/>
        </w:rPr>
        <w:t>2 mL has been used to define IVH growth</w:t>
      </w:r>
      <w:r w:rsidR="009134B6" w:rsidRPr="006A1593">
        <w:rPr>
          <w:color w:val="222222"/>
          <w:sz w:val="24"/>
          <w:szCs w:val="24"/>
          <w:shd w:val="clear" w:color="auto" w:fill="FFFFFF"/>
          <w:lang w:val="en-US"/>
        </w:rPr>
        <w:fldChar w:fldCharType="begin" w:fldLock="1"/>
      </w:r>
      <w:r w:rsidR="00BA1458" w:rsidRPr="006A1593">
        <w:rPr>
          <w:color w:val="222222"/>
          <w:sz w:val="24"/>
          <w:szCs w:val="24"/>
          <w:shd w:val="clear" w:color="auto" w:fill="FFFFFF"/>
          <w:lang w:val="en-US"/>
        </w:rPr>
        <w:instrText>ADDIN CSL_CITATION {"citationItems":[{"id":"ITEM-1","itemData":{"DOI":"10.1227/01.NEU.0000232837.34992.32","ISSN":"1524-4040","PMID":"17038942","abstract":"OBJECTIVE To evaluate predictors of intraventricular hemorrhage (IVH) and IVH growth, impact of IVH growth on outcome, and impact of recombinant activated factor VII (rFVIIa) in patients with intracerebral hemorrhage (ICH). METHODS We analyzed 374 patients out of 399 who were randomized to rFVIIa (40, 80, or 160 mug/kg) or placebo for ICH (diagnosed within 3 h of symptoms). Risk factors for IVH growth (&gt;2 ml increase in IVH volume at 24 h), and death or severe disability (modified Rankin scale score 4-6) at 3 months were identified (logistic regression). RESULTS IVH was present in 38% (n = 141) of patients at baseline and 45% (n = 169) by 24 hours. IVH growth, by 24 hours, occurred in 17 and 10% of placebo- and rFVIIa-treated patients, respectively (P = 0.037). Risk factors for IVH growth included baseline mean arterial pressure greater than 120 mmHg, larger baseline ICH volume, IVH present at baseline, shorter time from symptom onset to baseline computed tomographic scan, and treatment (rFVIIa versus placebo) (all, P &lt; or = 0.037). Predictors of death or severe disability included older age, lower baseline Glasgow Coma Score, larger baseline ICH volume, IVH growth greater than 2 ml, IVH present at baseline or 24 hours, and treatment (rFVIIa versus placebo) (all, P &lt; or = 0.0405). CONCLUSION Presence of IVH at any time and early IVH growth worsen clinical outcome and increase mortality. Elevated mean arterial pressure at baseline may be a modifiable risk factor for IVH growth. Beneficial effects of rFVIIa on ICH outcome may be mediated, at least in part, by reducing IVH growth.","author":[{"dropping-particle":"","family":"Steiner","given":"Thorsten","non-dropping-particle":"","parse-names":false,"suffix":""},{"dropping-particle":"","family":"Diringer","given":"Michael N","non-dropping-particle":"","parse-names":false,"suffix":""},{"dropping-particle":"","family":"Schneider","given":"Dietmar","non-dropping-particle":"","parse-names":false,"suffix":""},{"dropping-particle":"","family":"Mayer","given":"Stephan A","non-dropping-particle":"","parse-names":false,"suffix":""},{"dropping-particle":"","family":"Begtrup","given":"Kamilla","non-dropping-particle":"","parse-names":false,"suffix":""},{"dropping-particle":"","family":"Broderick","given":"Joseph","non-dropping-particle":"","parse-names":false,"suffix":""},{"dropping-particle":"","family":"Skolnick","given":"Brett E","non-dropping-particle":"","parse-names":false,"suffix":""},{"dropping-particle":"","family":"Davis","given":"Stephen M","non-dropping-particle":"","parse-names":false,"suffix":""}],"container-title":"Neurosurgery","id":"ITEM-1","issue":"4","issued":{"date-parts":[["2006","10","1"]]},"page":"767-73; discussion 773-4","title":"Dynamics of intraventricular hemorrhage in patients with spontaneous intracerebral hemorrhage: risk factors, clinical impact, and effect of hemostatic therapy with recombinant activated factor VII.","type":"article-journal","volume":"59"},"uris":["http://www.mendeley.com/documents/?uuid=91505222-2734-3053-be5b-885d16c3a1ab"]}],"mendeley":{"formattedCitation":"&lt;sup&gt;73&lt;/sup&gt;","plainTextFormattedCitation":"73","previouslyFormattedCitation":"&lt;sup&gt;73&lt;/sup&gt;"},"properties":{"noteIndex":0},"schema":"https://github.com/citation-style-language/schema/raw/master/csl-citation.json"}</w:instrText>
      </w:r>
      <w:r w:rsidR="009134B6" w:rsidRPr="006A1593">
        <w:rPr>
          <w:color w:val="222222"/>
          <w:sz w:val="24"/>
          <w:szCs w:val="24"/>
          <w:shd w:val="clear" w:color="auto" w:fill="FFFFFF"/>
          <w:lang w:val="en-US"/>
        </w:rPr>
        <w:fldChar w:fldCharType="separate"/>
      </w:r>
      <w:r w:rsidR="00BA1458" w:rsidRPr="006A1593">
        <w:rPr>
          <w:noProof/>
          <w:color w:val="222222"/>
          <w:sz w:val="24"/>
          <w:szCs w:val="24"/>
          <w:shd w:val="clear" w:color="auto" w:fill="FFFFFF"/>
          <w:vertAlign w:val="superscript"/>
          <w:lang w:val="en-US"/>
        </w:rPr>
        <w:t>73</w:t>
      </w:r>
      <w:r w:rsidR="009134B6" w:rsidRPr="006A1593">
        <w:rPr>
          <w:color w:val="222222"/>
          <w:sz w:val="24"/>
          <w:szCs w:val="24"/>
          <w:shd w:val="clear" w:color="auto" w:fill="FFFFFF"/>
          <w:lang w:val="en-US"/>
        </w:rPr>
        <w:fldChar w:fldCharType="end"/>
      </w:r>
      <w:r w:rsidR="00D17C0A" w:rsidRPr="006A1593">
        <w:rPr>
          <w:color w:val="222222"/>
          <w:sz w:val="24"/>
          <w:szCs w:val="24"/>
          <w:shd w:val="clear" w:color="auto" w:fill="FFFFFF"/>
          <w:lang w:val="en-US"/>
        </w:rPr>
        <w:t xml:space="preserve"> </w:t>
      </w:r>
      <w:r w:rsidR="00FF6466" w:rsidRPr="006A1593">
        <w:rPr>
          <w:color w:val="222222"/>
          <w:sz w:val="24"/>
          <w:szCs w:val="24"/>
          <w:shd w:val="clear" w:color="auto" w:fill="FFFFFF"/>
          <w:lang w:val="en-US"/>
        </w:rPr>
        <w:t>but t</w:t>
      </w:r>
      <w:r w:rsidRPr="006A1593">
        <w:rPr>
          <w:color w:val="222222"/>
          <w:sz w:val="24"/>
          <w:szCs w:val="24"/>
          <w:shd w:val="clear" w:color="auto" w:fill="FFFFFF"/>
          <w:lang w:val="en-US"/>
        </w:rPr>
        <w:t>he ideal threshold for IVH expansion remains to be determined</w:t>
      </w:r>
      <w:r w:rsidR="00FF6466" w:rsidRPr="006A1593">
        <w:rPr>
          <w:color w:val="222222"/>
          <w:sz w:val="24"/>
          <w:szCs w:val="24"/>
          <w:shd w:val="clear" w:color="auto" w:fill="FFFFFF"/>
          <w:lang w:val="en-US"/>
        </w:rPr>
        <w:t>.</w:t>
      </w:r>
    </w:p>
    <w:p w:rsidR="00460669" w:rsidRPr="006A1593" w:rsidRDefault="00460669">
      <w:pPr>
        <w:rPr>
          <w:sz w:val="24"/>
          <w:szCs w:val="24"/>
          <w:lang w:val="en-US"/>
        </w:rPr>
      </w:pPr>
      <w:r w:rsidRPr="006A1593">
        <w:rPr>
          <w:sz w:val="24"/>
          <w:szCs w:val="24"/>
          <w:lang w:val="en-US"/>
        </w:rPr>
        <w:t>The recommended standards for detection of NCCT markers and reporting a</w:t>
      </w:r>
      <w:r w:rsidR="00F83458" w:rsidRPr="006A1593">
        <w:rPr>
          <w:sz w:val="24"/>
          <w:szCs w:val="24"/>
          <w:lang w:val="en-US"/>
        </w:rPr>
        <w:t>n association with HE</w:t>
      </w:r>
      <w:r w:rsidRPr="006A1593">
        <w:rPr>
          <w:sz w:val="24"/>
          <w:szCs w:val="24"/>
          <w:lang w:val="en-US"/>
        </w:rPr>
        <w:t xml:space="preserve"> </w:t>
      </w:r>
      <w:proofErr w:type="gramStart"/>
      <w:r w:rsidRPr="006A1593">
        <w:rPr>
          <w:sz w:val="24"/>
          <w:szCs w:val="24"/>
          <w:lang w:val="en-US"/>
        </w:rPr>
        <w:t>are</w:t>
      </w:r>
      <w:proofErr w:type="gramEnd"/>
      <w:r w:rsidRPr="006A1593">
        <w:rPr>
          <w:sz w:val="24"/>
          <w:szCs w:val="24"/>
          <w:lang w:val="en-US"/>
        </w:rPr>
        <w:t xml:space="preserve"> summarized in</w:t>
      </w:r>
      <w:r w:rsidR="00D930EC" w:rsidRPr="006A1593">
        <w:rPr>
          <w:sz w:val="24"/>
          <w:szCs w:val="24"/>
          <w:lang w:val="en-US"/>
        </w:rPr>
        <w:t xml:space="preserve"> Table 3</w:t>
      </w:r>
      <w:r w:rsidR="006A1593" w:rsidRPr="006A1593">
        <w:rPr>
          <w:sz w:val="24"/>
          <w:szCs w:val="24"/>
          <w:lang w:val="en-US"/>
        </w:rPr>
        <w:t>.</w:t>
      </w:r>
    </w:p>
    <w:p w:rsidR="00C26225" w:rsidRPr="006A1593" w:rsidRDefault="00C26225">
      <w:pPr>
        <w:pStyle w:val="Heading1"/>
        <w:rPr>
          <w:rFonts w:ascii="Times New Roman" w:hAnsi="Times New Roman"/>
          <w:sz w:val="24"/>
          <w:szCs w:val="24"/>
          <w:u w:val="none"/>
          <w:lang w:val="en-US"/>
        </w:rPr>
      </w:pPr>
    </w:p>
    <w:p w:rsidR="00460669" w:rsidRPr="006A1593" w:rsidRDefault="00460669">
      <w:pPr>
        <w:pStyle w:val="Heading1"/>
        <w:rPr>
          <w:rFonts w:ascii="Times New Roman" w:hAnsi="Times New Roman"/>
          <w:sz w:val="24"/>
          <w:szCs w:val="24"/>
          <w:u w:val="none"/>
          <w:lang w:val="en-US"/>
        </w:rPr>
      </w:pPr>
      <w:r w:rsidRPr="006A1593">
        <w:rPr>
          <w:rFonts w:ascii="Times New Roman" w:hAnsi="Times New Roman"/>
          <w:sz w:val="24"/>
          <w:szCs w:val="24"/>
          <w:u w:val="none"/>
          <w:lang w:val="en-US"/>
        </w:rPr>
        <w:t xml:space="preserve">CONCLUSION AND PRIORITIES FOR FUTURE RESEARCH </w:t>
      </w:r>
    </w:p>
    <w:p w:rsidR="00072865" w:rsidRPr="006A1593" w:rsidRDefault="00E20521" w:rsidP="00F63F74">
      <w:pPr>
        <w:rPr>
          <w:sz w:val="24"/>
          <w:szCs w:val="24"/>
          <w:lang w:val="en-US"/>
        </w:rPr>
      </w:pPr>
      <w:r w:rsidRPr="006A1593">
        <w:rPr>
          <w:sz w:val="24"/>
          <w:szCs w:val="24"/>
          <w:lang w:val="en-US"/>
        </w:rPr>
        <w:t>Although based on several studies with an overall low level of evidence and important limitations, o</w:t>
      </w:r>
      <w:r w:rsidR="00F63F74" w:rsidRPr="006A1593">
        <w:rPr>
          <w:sz w:val="24"/>
          <w:szCs w:val="24"/>
          <w:lang w:val="en-US"/>
        </w:rPr>
        <w:t xml:space="preserve">ur standards for detecting, reporting and interpreting NCCT markers of </w:t>
      </w:r>
      <w:r w:rsidR="00E64FFC" w:rsidRPr="006A1593">
        <w:rPr>
          <w:sz w:val="24"/>
          <w:szCs w:val="24"/>
          <w:lang w:val="en-US"/>
        </w:rPr>
        <w:t>HE</w:t>
      </w:r>
      <w:r w:rsidR="00F63F74" w:rsidRPr="006A1593">
        <w:rPr>
          <w:sz w:val="24"/>
          <w:szCs w:val="24"/>
          <w:lang w:val="en-US"/>
        </w:rPr>
        <w:t xml:space="preserve"> </w:t>
      </w:r>
      <w:proofErr w:type="gramStart"/>
      <w:r w:rsidR="00F63F74" w:rsidRPr="006A1593">
        <w:rPr>
          <w:sz w:val="24"/>
          <w:szCs w:val="24"/>
          <w:lang w:val="en-US"/>
        </w:rPr>
        <w:t>are</w:t>
      </w:r>
      <w:proofErr w:type="gramEnd"/>
      <w:r w:rsidR="00F63F74" w:rsidRPr="006A1593">
        <w:rPr>
          <w:sz w:val="24"/>
          <w:szCs w:val="24"/>
          <w:lang w:val="en-US"/>
        </w:rPr>
        <w:t xml:space="preserve"> intended as the first step to harmonize terminology, definitions and imaging rating methods. We encourage other clinical researchers in the field to consider these standards in the design of future studies on </w:t>
      </w:r>
      <w:r w:rsidR="00E64FFC" w:rsidRPr="006A1593">
        <w:rPr>
          <w:sz w:val="24"/>
          <w:szCs w:val="24"/>
          <w:lang w:val="en-US"/>
        </w:rPr>
        <w:t>HE</w:t>
      </w:r>
      <w:r w:rsidR="00F63F74" w:rsidRPr="006A1593">
        <w:rPr>
          <w:sz w:val="24"/>
          <w:szCs w:val="24"/>
          <w:lang w:val="en-US"/>
        </w:rPr>
        <w:t xml:space="preserve">. Our critical next step would be to select, among almost a dozen markers already published with different definitions and findings, the 2-3 most clinically useful. We recommend to </w:t>
      </w:r>
      <w:r w:rsidR="00DF39B9" w:rsidRPr="006A1593">
        <w:rPr>
          <w:sz w:val="24"/>
          <w:szCs w:val="24"/>
          <w:lang w:val="en-US"/>
        </w:rPr>
        <w:t>measure</w:t>
      </w:r>
      <w:r w:rsidR="00F63F74" w:rsidRPr="006A1593">
        <w:rPr>
          <w:sz w:val="24"/>
          <w:szCs w:val="24"/>
          <w:lang w:val="en-US"/>
        </w:rPr>
        <w:t xml:space="preserve"> the diagnostic performance of NCCT markers using prediction </w:t>
      </w:r>
      <w:r w:rsidR="00EE26BC" w:rsidRPr="006A1593">
        <w:rPr>
          <w:sz w:val="24"/>
          <w:szCs w:val="24"/>
          <w:lang w:val="en-US"/>
        </w:rPr>
        <w:t>models</w:t>
      </w:r>
      <w:r w:rsidR="00F63F74" w:rsidRPr="006A1593">
        <w:rPr>
          <w:sz w:val="24"/>
          <w:szCs w:val="24"/>
          <w:lang w:val="en-US"/>
        </w:rPr>
        <w:t xml:space="preserve"> (model discrimination and calibration)</w:t>
      </w:r>
      <w:r w:rsidR="009134B6" w:rsidRPr="006A1593">
        <w:rPr>
          <w:sz w:val="24"/>
          <w:szCs w:val="24"/>
          <w:lang w:val="en-US"/>
        </w:rPr>
        <w:fldChar w:fldCharType="begin" w:fldLock="1"/>
      </w:r>
      <w:r w:rsidR="00BA1458" w:rsidRPr="006A1593">
        <w:rPr>
          <w:sz w:val="24"/>
          <w:szCs w:val="24"/>
          <w:lang w:val="en-US"/>
        </w:rPr>
        <w:instrText>ADDIN CSL_CITATION {"citationItems":[{"id":"ITEM-1","itemData":{"DOI":"10.1097/EDE.0b013e3181c30fb2","ISSN":"1531-5487","PMID":"20010215","abstract":"The performance of prediction models can be assessed using a variety of methods and metrics. Traditional measures for binary and survival outcomes include the Brier score to indicate overall model performance, the concordance (or c) statistic for discriminative ability (or area under the receiver operating characteristic [ROC] curve), and goodness-of-fit statistics for calibration.Several new measures have recently been proposed that can be seen as refinements of discrimination measures, including variants of the c statistic for survival, reclassification tables, net reclassification improvement (NRI), and integrated discrimination improvement (IDI). Moreover, decision-analytic measures have been proposed, including decision curves to plot the net benefit achieved by making decisions based on model predictions.We aimed to define the role of these relatively novel approaches in the evaluation of the performance of prediction models. For illustration, we present a case study of predicting the presence of residual tumor versus benign tissue in patients with testicular cancer (n = 544 for model development, n = 273 for external validation).We suggest that reporting discrimination and calibration will always be important for a prediction model. Decision-analytic measures should be reported if the predictive model is to be used for clinical decisions. Other measures of performance may be warranted in specific applications, such as reclassification metrics to gain insight into the value of adding a novel predictor to an established model.","author":[{"dropping-particle":"","family":"Steyerberg","given":"Ewout W","non-dropping-particle":"","parse-names":false,"suffix":""},{"dropping-particle":"","family":"Vickers","given":"Andrew J","non-dropping-particle":"","parse-names":false,"suffix":""},{"dropping-particle":"","family":"Cook","given":"Nancy R","non-dropping-particle":"","parse-names":false,"suffix":""},{"dropping-particle":"","family":"Gerds","given":"Thomas","non-dropping-particle":"","parse-names":false,"suffix":""},{"dropping-particle":"","family":"Gonen","given":"Mithat","non-dropping-particle":"","parse-names":false,"suffix":""},{"dropping-particle":"","family":"Obuchowski","given":"Nancy","non-dropping-particle":"","parse-names":false,"suffix":""},{"dropping-particle":"","family":"Pencina","given":"Michael J","non-dropping-particle":"","parse-names":false,"suffix":""},{"dropping-particle":"","family":"Kattan","given":"Michael W","non-dropping-particle":"","parse-names":false,"suffix":""}],"container-title":"Epidemiology (Cambridge, Mass.)","id":"ITEM-1","issue":"1","issued":{"date-parts":[["2010","1"]]},"page":"128-38","publisher":"NIH Public Access","title":"Assessing the performance of prediction models: a framework for traditional and novel measures.","type":"article-journal","volume":"21"},"uris":["http://www.mendeley.com/documents/?uuid=f9ed8a92-e535-306d-b04e-7b8fddab89a7"]}],"mendeley":{"formattedCitation":"&lt;sup&gt;74&lt;/sup&gt;","plainTextFormattedCitation":"74","previouslyFormattedCitation":"&lt;sup&gt;74&lt;/sup&gt;"},"properties":{"noteIndex":0},"schema":"https://github.com/citation-style-language/schema/raw/master/csl-citation.json"}</w:instrText>
      </w:r>
      <w:r w:rsidR="009134B6" w:rsidRPr="006A1593">
        <w:rPr>
          <w:sz w:val="24"/>
          <w:szCs w:val="24"/>
          <w:lang w:val="en-US"/>
        </w:rPr>
        <w:fldChar w:fldCharType="separate"/>
      </w:r>
      <w:r w:rsidR="00BA1458" w:rsidRPr="006A1593">
        <w:rPr>
          <w:noProof/>
          <w:sz w:val="24"/>
          <w:szCs w:val="24"/>
          <w:vertAlign w:val="superscript"/>
          <w:lang w:val="en-US"/>
        </w:rPr>
        <w:t>74</w:t>
      </w:r>
      <w:r w:rsidR="009134B6" w:rsidRPr="006A1593">
        <w:rPr>
          <w:sz w:val="24"/>
          <w:szCs w:val="24"/>
          <w:lang w:val="en-US"/>
        </w:rPr>
        <w:fldChar w:fldCharType="end"/>
      </w:r>
      <w:r w:rsidR="00072865" w:rsidRPr="006A1593">
        <w:rPr>
          <w:sz w:val="24"/>
          <w:szCs w:val="24"/>
          <w:lang w:val="en-US"/>
        </w:rPr>
        <w:t xml:space="preserve">, </w:t>
      </w:r>
      <w:r w:rsidR="00F63F74" w:rsidRPr="006A1593">
        <w:rPr>
          <w:sz w:val="24"/>
          <w:szCs w:val="24"/>
          <w:lang w:val="en-US"/>
        </w:rPr>
        <w:t xml:space="preserve">and accuracy </w:t>
      </w:r>
      <w:r w:rsidR="00EE26BC" w:rsidRPr="006A1593">
        <w:rPr>
          <w:sz w:val="24"/>
          <w:szCs w:val="24"/>
          <w:lang w:val="en-US"/>
        </w:rPr>
        <w:t xml:space="preserve">diagnostic </w:t>
      </w:r>
      <w:r w:rsidR="00F63F74" w:rsidRPr="006A1593">
        <w:rPr>
          <w:sz w:val="24"/>
          <w:szCs w:val="24"/>
          <w:lang w:val="en-US"/>
        </w:rPr>
        <w:t>statistics (sensitivity, specificity</w:t>
      </w:r>
      <w:r w:rsidR="00EE26BC" w:rsidRPr="006A1593">
        <w:rPr>
          <w:sz w:val="24"/>
          <w:szCs w:val="24"/>
          <w:lang w:val="en-US"/>
        </w:rPr>
        <w:t xml:space="preserve"> etc.</w:t>
      </w:r>
      <w:r w:rsidR="00F63F74" w:rsidRPr="006A1593">
        <w:rPr>
          <w:sz w:val="24"/>
          <w:szCs w:val="24"/>
          <w:lang w:val="en-US"/>
        </w:rPr>
        <w:t>)</w:t>
      </w:r>
      <w:r w:rsidR="00890FFD" w:rsidRPr="006A1593">
        <w:rPr>
          <w:sz w:val="24"/>
          <w:szCs w:val="24"/>
          <w:lang w:val="en-US"/>
        </w:rPr>
        <w:t>.</w:t>
      </w:r>
      <w:r w:rsidR="009134B6" w:rsidRPr="006A1593">
        <w:rPr>
          <w:sz w:val="24"/>
          <w:szCs w:val="24"/>
          <w:lang w:val="en-US"/>
        </w:rPr>
        <w:fldChar w:fldCharType="begin" w:fldLock="1"/>
      </w:r>
      <w:r w:rsidR="00BA1458" w:rsidRPr="006A1593">
        <w:rPr>
          <w:sz w:val="24"/>
          <w:szCs w:val="24"/>
          <w:lang w:val="en-US"/>
        </w:rPr>
        <w:instrText>ADDIN CSL_CITATION {"citationItems":[{"id":"ITEM-1","itemData":{"DOI":"10.1136/BMJ.309.6947.102","ISSN":"0959-8138","PMID":"8038641","abstract":"The whole point of a diagnostic test is to use it to make a diagnosis, so we need to know the probability that the test will give the correct diagnosis. The sensitivity and specificity1 do not give us this information. Instead we must approach the data from the direction of the test results, using predictive values.\n\nPositive predictive value is the proportion of patients with positive test results who are correctly diagnosed.\n\nNegative predictive value is the proportion of patients with negative test results who are correctly diagnosed.\n\nUsing the same data as in the previous note,1 we know that 231 of 263 patients with abnormal liver scans had abnormal pathology, giving the proportion of correct diagnoses as 231/263 = 0.88. …","author":[{"dropping-particle":"","family":"Altman","given":"D G","non-dropping-particle":"","parse-names":false,"suffix":""},{"dropping-particle":"","family":"Bland","given":"J M","non-dropping-particle":"","parse-names":false,"suffix":""}],"container-title":"BMJ (Clinical research ed.)","id":"ITEM-1","issue":"6947","issued":{"date-parts":[["1994","7","9"]]},"page":"102","publisher":"British Medical Journal Publishing Group","title":"Diagnostic tests 2: Predictive values.","type":"article-journal","volume":"309"},"uris":["http://www.mendeley.com/documents/?uuid=96d3c091-29aa-3451-b563-13172500db23"]},{"id":"ITEM-2","itemData":{"DOI":"10.1136/BMJ.308.6943.1552","ISSN":"0959-8138","PMID":"8019315","abstract":"The simplest diagnostic test is one where the results of an investigation, such as an x ray examination or biopsy, are used to classify patients into two groups according to the presence or absence of a symptom or sign. For example, the table shows the relation between the results of a test, a liver scan, and the correct diagnosis based on either necropsy, …","author":[{"dropping-particle":"","family":"Altman","given":"D G","non-dropping-particle":"","parse-names":false,"suffix":""},{"dropping-particle":"","family":"Bland","given":"J M","non-dropping-particle":"","parse-names":false,"suffix":""}],"container-title":"BMJ (Clinical research ed.)","id":"ITEM-2","issue":"6943","issued":{"date-parts":[["1994","6","11"]]},"page":"1552","publisher":"British Medical Journal Publishing Group","title":"Diagnostic tests. 1: Sensitivity and specificity.","type":"article-journal","volume":"308"},"uris":["http://www.mendeley.com/documents/?uuid=a462732d-d244-3c58-bceb-cc07b63971ba"]}],"mendeley":{"formattedCitation":"&lt;sup&gt;75,76&lt;/sup&gt;","plainTextFormattedCitation":"75,76","previouslyFormattedCitation":"&lt;sup&gt;75,76&lt;/sup&gt;"},"properties":{"noteIndex":0},"schema":"https://github.com/citation-style-language/schema/raw/master/csl-citation.json"}</w:instrText>
      </w:r>
      <w:r w:rsidR="009134B6" w:rsidRPr="006A1593">
        <w:rPr>
          <w:sz w:val="24"/>
          <w:szCs w:val="24"/>
          <w:lang w:val="en-US"/>
        </w:rPr>
        <w:fldChar w:fldCharType="separate"/>
      </w:r>
      <w:r w:rsidR="00BA1458" w:rsidRPr="006A1593">
        <w:rPr>
          <w:noProof/>
          <w:sz w:val="24"/>
          <w:szCs w:val="24"/>
          <w:vertAlign w:val="superscript"/>
          <w:lang w:val="en-US"/>
        </w:rPr>
        <w:t>75,76</w:t>
      </w:r>
      <w:r w:rsidR="009134B6" w:rsidRPr="006A1593">
        <w:rPr>
          <w:sz w:val="24"/>
          <w:szCs w:val="24"/>
          <w:lang w:val="en-US"/>
        </w:rPr>
        <w:fldChar w:fldCharType="end"/>
      </w:r>
      <w:r w:rsidR="00072865" w:rsidRPr="006A1593">
        <w:rPr>
          <w:sz w:val="24"/>
          <w:szCs w:val="24"/>
          <w:lang w:val="en-US"/>
        </w:rPr>
        <w:t xml:space="preserve"> </w:t>
      </w:r>
      <w:r w:rsidR="00F63F74" w:rsidRPr="006A1593">
        <w:rPr>
          <w:sz w:val="24"/>
          <w:szCs w:val="24"/>
          <w:lang w:val="en-US"/>
        </w:rPr>
        <w:t xml:space="preserve">In particular, </w:t>
      </w:r>
      <w:r w:rsidR="004B1C90" w:rsidRPr="006A1593">
        <w:rPr>
          <w:sz w:val="24"/>
          <w:szCs w:val="24"/>
          <w:lang w:val="en-US"/>
        </w:rPr>
        <w:t xml:space="preserve">future studies should test the ability of NCCT signs to improve the discrimination of currently available models, based on simple and rapidly available </w:t>
      </w:r>
      <w:r w:rsidR="00890FFD" w:rsidRPr="006A1593">
        <w:rPr>
          <w:sz w:val="24"/>
          <w:szCs w:val="24"/>
          <w:lang w:val="en-US"/>
        </w:rPr>
        <w:t>predictors</w:t>
      </w:r>
      <w:r w:rsidR="004B1C90" w:rsidRPr="006A1593">
        <w:rPr>
          <w:sz w:val="24"/>
          <w:szCs w:val="24"/>
          <w:lang w:val="en-US"/>
        </w:rPr>
        <w:t xml:space="preserve"> (ICH volume, NCCT timing, antiplatelet and anticoagulant treatment</w:t>
      </w:r>
      <w:r w:rsidR="00443B48" w:rsidRPr="006A1593">
        <w:rPr>
          <w:sz w:val="24"/>
          <w:szCs w:val="24"/>
          <w:lang w:val="en-US"/>
        </w:rPr>
        <w:t>)</w:t>
      </w:r>
      <w:r w:rsidR="004B1C90" w:rsidRPr="006A1593">
        <w:rPr>
          <w:sz w:val="24"/>
          <w:szCs w:val="24"/>
          <w:lang w:val="en-US"/>
        </w:rPr>
        <w:t>.</w:t>
      </w:r>
      <w:r w:rsidR="009134B6" w:rsidRPr="006A1593">
        <w:rPr>
          <w:sz w:val="24"/>
          <w:szCs w:val="24"/>
          <w:lang w:val="en-US"/>
        </w:rPr>
        <w:fldChar w:fldCharType="begin" w:fldLock="1"/>
      </w:r>
      <w:r w:rsidR="00A744D0" w:rsidRPr="006A1593">
        <w:rPr>
          <w:sz w:val="24"/>
          <w:szCs w:val="24"/>
          <w:lang w:val="en-US"/>
        </w:rPr>
        <w:instrText>ADDIN CSL_CITATION {"citationItems":[{"id":"ITEM-1","itemData":{"DOI":"10.1016/S1474-4422(18)30253-9","ISSN":"14744422","PMID":"30120039","abstract":"BACKGROUND Intracerebral haemorrhage growth is associated with poor clinical outcome and is a therapeutic target for improving outcome. We aimed to determine the absolute risk and predictors of intracerebral haemorrhage growth, develop and validate prediction models, and evaluate the added value of CT angiography. METHODS In a systematic review of OVID MEDLINE-with additional hand-searching of relevant studies' bibliographies- from Jan 1, 1970, to Dec 31, 2015, we identified observational cohorts and randomised trials with repeat scanning protocols that included at least ten patients with acute intracerebral haemorrhage. We sought individual patient-level data from corresponding authors for patients aged 18 years or older with data available from brain imaging initially done 0·5-24 h and repeated fewer than 6 days after symptom onset, who had baseline intracerebral haemorrhage volume of less than 150 mL, and did not undergo acute treatment that might reduce intracerebral haemorrhage volume. We estimated the absolute risk and predictors of the primary outcome of intracerebral haemorrhage growth (defined as &gt;6 mL increase in intracerebral haemorrhage volume on repeat imaging) using multivariable logistic regression models in development and validation cohorts in four subgroups of patients, using a hierarchical approach: patients not taking anticoagulant therapy at intracerebral haemorrhage onset (who constituted the largest subgroup), patients taking anticoagulant therapy at intracerebral haemorrhage onset, patients from cohorts that included at least some patients taking anticoagulant therapy at intracerebral haemorrhage onset, and patients for whom both information about anticoagulant therapy at intracerebral haemorrhage onset and spot sign on acute CT angiography were known. FINDINGS Of 4191 studies identified, 77 were eligible for inclusion. Overall, 36 (47%) cohorts provided data on 5435 eligible patients. 5076 of these patients were not taking anticoagulant therapy at symptom onset (median age 67 years, IQR 56-76), of whom 1009 (20%) had intracerebral haemorrhage growth. Multivariable models of patients with data on antiplatelet therapy use, data on anticoagulant therapy use, and assessment of CT angiography spot sign at symptom onset showed that time from symptom onset to baseline imaging (odds ratio 0·50, 95% CI 0·36-0·70; p&lt;0·0001), intracerebral haemorrhage volume on baseline imaging (7·18, 4·46-11·60; p&lt;0·0001), antiplatelet use (1·68, 1·06-2·6…","author":[{"dropping-particle":"","family":"Al-Shahi Salman","given":"Rustam","non-dropping-particle":"","parse-names":false,"suffix":""},{"dropping-particle":"","family":"Frantzias","given":"Joseph","non-dropping-particle":"","parse-names":false,"suffix":""},{"dropping-particle":"","family":"Lee","given":"Robert J","non-dropping-particle":"","parse-names":false,"suffix":""},{"dropping-particle":"","family":"Lyden","given":"Patrick D","non-dropping-particle":"","parse-names":false,"suffix":""},{"dropping-particle":"","family":"Battey","given":"Thomas W K","non-dropping-particle":"","parse-names":false,"suffix":""},{"dropping-particle":"","family":"Ayres","given":"Alison M","non-dropping-particle":"","parse-names":false,"suffix":""},{"dropping-particle":"","family":"Goldstein","given":"Joshua N","non-dropping-particle":"","parse-names":false,"suffix":""},{"dropping-particle":"","family":"Mayer","given":"Stephan A","non-dropping-particle":"","parse-names":false,"suffix":""},{"dropping-particle":"","family":"Steiner","given":"Thorsten","non-dropping-particle":"","parse-names":false,"suffix":""},{"dropping-particle":"","family":"Wang","given":"Xia","non-dropping-particle":"","parse-names":false,"suffix":""},{"dropping-particle":"","family":"Arima","given":"Hisatomi","non-dropping-particle":"","parse-names":false,"suffix":""},{"dropping-particle":"","family":"Hasegawa","given":"Hitoshi","non-dropping-particle":"","parse-names":false,"suffix":""},{"dropping-particle":"","family":"Oishi","given":"Makoto","non-dropping-particle":"","parse-names":false,"suffix":""},{"dropping-particle":"","family":"Godoy","given":"Daniel A","non-dropping-particle":"","parse-names":false,"suffix":""},{"dropping-particle":"","family":"Masotti","given":"Luca","non-dropping-particle":"","parse-names":false,"suffix":""},{"dropping-particle":"","family":"Dowlatshahi","given":"Dar","non-dropping-particle":"","parse-names":false,"suffix":""},{"dropping-particle":"","family":"Rodriguez-Luna","given":"David","non-dropping-particle":"","parse-names":false,"suffix":""},{"dropping-particle":"","family":"Molina","given":"Carlos A","non-dropping-particle":"","parse-names":false,"suffix":""},{"dropping-particle":"","family":"Jang","given":"Dong-Kyu","non-dropping-particle":"","parse-names":false,"suffix":""},{"dropping-particle":"","family":"Davalos","given":"Antonio","non-dropping-particle":"","parse-names":false,"suffix":""},{"dropping-particle":"","family":"Castillo","given":"José","non-dropping-particle":"","parse-names":false,"suffix":""},{"dropping-particle":"","family":"Yao","given":"Xiaoying","non-dropping-particle":"","parse-names":false,"suffix":""},{"dropping-particle":"","family":"Claassen","given":"Jan","non-dropping-particle":"","parse-names":false,"suffix":""},{"dropping-particle":"","family":"Volbers","given":"Bastian","non-dropping-particle":"","parse-names":false,"suffix":""},{"dropping-particle":"","family":"Kazui","given":"Seiji","non-dropping-particle":"","parse-names":false,"suffix":""},{"dropping-particle":"","family":"Okada","given":"Yasushi","non-dropping-particle":"","parse-names":false,"suffix":""},{"dropping-particle":"","family":"Fujimoto","given":"Shigeru","non-dropping-particle":"","parse-names":false,"suffix":""},{"dropping-particle":"","family":"Toyoda","given":"Kazunori","non-dropping-particle":"","parse-names":false,"suffix":""},{"dropping-particle":"","family":"Li","given":"Qi","non-dropping-particle":"","parse-names":false,"suffix":""},{"dropping-particle":"","family":"Khoury","given":"Jane","non-dropping-particle":"","parse-names":false,"suffix":""},{"dropping-particle":"","family":"Delgado","given":"Pilar","non-dropping-particle":"","parse-names":false,"suffix":""},{"dropping-particle":"","family":"Sabín","given":"José Álvarez","non-dropping-particle":"","parse-names":false,"suffix":""},{"dropping-particle":"","family":"Hernández-Guillamon","given":"Mar","non-dropping-particle":"","parse-names":false,"suffix":""},{"dropping-particle":"","family":"Prats-Sánchez","given":"Luis","non-dropping-particle":"","parse-names":false,"suffix":""},{"dropping-particle":"","family":"Cai","given":"Chunyan","non-dropping-particle":"","parse-names":false,"suffix":""},{"dropping-particle":"","family":"Kate","given":"Mahesh P","non-dropping-particle":"","parse-names":false,"suffix":""},{"dropping-particle":"","family":"McCourt","given":"Rebecca","non-dropping-particle":"","parse-names":false,"suffix":""},{"dropping-particle":"","family":"Venkatasubramanian","given":"Chitra","non-dropping-particle":"","parse-names":false,"suffix":""},{"dropping-particle":"","family":"Diringer","given":"Michael N","non-dropping-particle":"","parse-names":false,"suffix":""},{"dropping-particle":"","family":"Ikeda","given":"Yukio","non-dropping-particle":"","parse-names":false,"suffix":""},{"dropping-particle":"","family":"Worthmann","given":"Hans","non-dropping-particle":"","parse-names":false,"suffix":""},{"dropping-particle":"","family":"Ziai","given":"Wendy C","non-dropping-particle":"","parse-names":false,"suffix":""},{"dropping-particle":"","family":"d'Esterre","given":"Christopher D","non-dropping-particle":"","parse-names":false,"suffix":""},{"dropping-particle":"","family":"Aviv","given":"Richard I","non-dropping-particle":"","parse-names":false,"suffix":""},{"dropping-particle":"","family":"Raab","given":"Peter","non-dropping-particle":"","parse-names":false,"suffix":""},{"dropping-particle":"","family":"Murai","given":"Yasuo","non-dropping-particle":"","parse-names":false,"suffix":""},{"dropping-particle":"","family":"Zazulia","given":"Allyson R","non-dropping-particle":"","parse-names":false,"suffix":""},{"dropping-particle":"","family":"Butcher","given":"Kenneth S","non-dropping-particle":"","parse-names":false,"suffix":""},{"dropping-particle":"","family":"Seyedsaadat","given":"Seyed Mohammad","non-dropping-particle":"","parse-names":false,"suffix":""},{"dropping-particle":"","family":"Grotta","given":"James C","non-dropping-particle":"","parse-names":false,"suffix":""},{"dropping-particle":"","family":"Martí-Fàbregas","given":"Joan","non-dropping-particle":"","parse-names":false,"suffix":""},{"dropping-particle":"","family":"Montaner","given":"Joan","non-dropping-particle":"","parse-names":false,"suffix":""},{"dropping-particle":"","family":"Broderick","given":"Joseph","non-dropping-particle":"","parse-names":false,"suffix":""},{"dropping-particle":"","family":"Yamamoto","given":"Haruko","non-dropping-particle":"","parse-names":false,"suffix":""},{"dropping-particle":"","family":"Staykov","given":"Dimitre","non-dropping-particle":"","parse-names":false,"suffix":""},{"dropping-particle":"","family":"Connolly","given":"E Sander","non-dropping-particle":"","parse-names":false,"suffix":""},{"dropping-particle":"","family":"Selim","given":"Magdy","non-dropping-particle":"","parse-names":false,"suffix":""},{"dropping-particle":"","family":"Leira","given":"Rogelio","non-dropping-particle":"","parse-names":false,"suffix":""},{"dropping-particle":"","family":"Moon","given":"Byung Hoo","non-dropping-particle":"","parse-names":false,"suffix":""},{"dropping-particle":"","family":"Demchuk","given":"Andrew M","non-dropping-particle":"","parse-names":false,"suffix":""},{"dropping-particle":"","family":"Napoli","given":"Mario","non-dropping-particle":"Di","parse-names":false,"suffix":""},{"dropping-particle":"","family":"Fujii","given":"Yukihiko","non-dropping-particle":"","parse-names":false,"suffix":""},{"dropping-particle":"","family":"Anderson","given":"Craig S","non-dropping-particle":"","parse-names":false,"suffix":""},{"dropping-particle":"","family":"Rosand","given":"Jonathan","non-dropping-particle":"","parse-names":false,"suffix":""},{"dropping-particle":"","family":"Hanley","given":"Daniel F","non-dropping-particle":"","parse-names":false,"suffix":""},{"dropping-particle":"","family":"Butcher","given":"Kenneth S","non-dropping-particle":"","parse-names":false,"suffix":""},{"dropping-particle":"","family":"Davis","given":"Stephen","non-dropping-particle":"","parse-names":false,"suffix":""},{"dropping-particle":"","family":"Gregson","given":"Barbara","non-dropping-particle":"","parse-names":false,"suffix":""},{"dropping-particle":"","family":"Lees","given":"Kennedy R","non-dropping-particle":"","parse-names":false,"suffix":""},{"dropping-particle":"","family":"Lyden","given":"Patrick D","non-dropping-particle":"","parse-names":false,"suffix":""},{"dropping-particle":"","family":"Mayer","given":"Stephan A","non-dropping-particle":"","parse-names":false,"suffix":""},{"dropping-particle":"","family":"Muir","given":"Keith W","non-dropping-particle":"","parse-names":false,"suffix":""},{"dropping-particle":"","family":"Steiner","given":"Thorsten","non-dropping-particle":"","parse-names":false,"suffix":""},{"dropping-particle":"","family":"Xie","given":"Peng","non-dropping-particle":"","parse-names":false,"suffix":""},{"dropping-particle":"","family":"Bakhshayesh","given":"Babak","non-dropping-particle":"","parse-names":false,"suffix":""},{"dropping-particle":"","family":"McDonald","given":"Mark","non-dropping-particle":"","parse-names":false,"suffix":""},{"dropping-particle":"","family":"Brott","given":"Thomas","non-dropping-particle":"","parse-names":false,"suffix":""},{"dropping-particle":"","family":"Pennati","given":"Paolo","non-dropping-particle":"","parse-names":false,"suffix":""},{"dropping-particle":"","family":"Parry-Jones","given":"Adrian R","non-dropping-particle":"","parse-names":false,"suffix":""},{"dropping-particle":"","family":"Smith","given":"Craig J","non-dropping-particle":"","parse-names":false,"suffix":""},{"dropping-particle":"","family":"Hopkins","given":"Stephen J","non-dropping-particle":"","parse-names":false,"suffix":""},{"dropping-particle":"","family":"Slevin","given":"Mark","non-dropping-particle":"","parse-names":false,"suffix":""},{"dropping-particle":"","family":"Campi","given":"Veronica","non-dropping-particle":"","parse-names":false,"suffix":""},{"dropping-particle":"","family":"Singh","given":"Puneetpal","non-dropping-particle":"","parse-names":false,"suffix":""},{"dropping-particle":"","family":"Papa","given":"Francesca","non-dropping-particle":"","parse-names":false,"suffix":""},{"dropping-particle":"","family":"Popa-Wagner","given":"Aurel","non-dropping-particle":"","parse-names":false,"suffix":""},{"dropping-particle":"","family":"Tudorica","given":"Valeria","non-dropping-particle":"","parse-names":false,"suffix":""},{"dropping-particle":"","family":"Takagi","given":"Ryo","non-dropping-particle":"","parse-names":false,"suffix":""},{"dropping-particle":"","family":"Teramoto","given":"Akira","non-dropping-particle":"","parse-names":false,"suffix":""},{"dropping-particle":"","family":"Weissenborn","given":"Karin","non-dropping-particle":"","parse-names":false,"suffix":""},{"dropping-particle":"","family":"Lanfermann","given":"Heinrich","non-dropping-particle":"","parse-names":false,"suffix":""}],"container-title":"The Lancet Neurology","id":"ITEM-1","issue":"10","issued":{"date-parts":[["2018","10","14"]]},"page":"885-894","title":"Absolute risk and predictors of the growth of acute spontaneous intracerebral haemorrhage: a systematic review and meta-analysis of individual patient data","type":"article-journal","volume":"17"},"uris":["http://www.mendeley.com/documents/?uuid=07829d4f-e1a6-366d-a1ea-d85bb697211d"]}],"mendeley":{"formattedCitation":"&lt;sup&gt;12&lt;/sup&gt;","plainTextFormattedCitation":"12","previouslyFormattedCitation":"&lt;sup&gt;12&lt;/sup&gt;"},"properties":{"noteIndex":0},"schema":"https://github.com/citation-style-language/schema/raw/master/csl-citation.json"}</w:instrText>
      </w:r>
      <w:r w:rsidR="009134B6" w:rsidRPr="006A1593">
        <w:rPr>
          <w:sz w:val="24"/>
          <w:szCs w:val="24"/>
          <w:lang w:val="en-US"/>
        </w:rPr>
        <w:fldChar w:fldCharType="separate"/>
      </w:r>
      <w:r w:rsidR="00A744D0" w:rsidRPr="006A1593">
        <w:rPr>
          <w:noProof/>
          <w:sz w:val="24"/>
          <w:szCs w:val="24"/>
          <w:vertAlign w:val="superscript"/>
          <w:lang w:val="en-US"/>
        </w:rPr>
        <w:t>12</w:t>
      </w:r>
      <w:r w:rsidR="009134B6" w:rsidRPr="006A1593">
        <w:rPr>
          <w:sz w:val="24"/>
          <w:szCs w:val="24"/>
          <w:lang w:val="en-US"/>
        </w:rPr>
        <w:fldChar w:fldCharType="end"/>
      </w:r>
      <w:r w:rsidR="00EE26BC" w:rsidRPr="006A1593">
        <w:rPr>
          <w:sz w:val="24"/>
          <w:szCs w:val="24"/>
          <w:lang w:val="en-US"/>
        </w:rPr>
        <w:t xml:space="preserve"> </w:t>
      </w:r>
      <w:r w:rsidR="00072865" w:rsidRPr="006A1593">
        <w:rPr>
          <w:sz w:val="24"/>
          <w:szCs w:val="24"/>
          <w:lang w:val="en-US"/>
        </w:rPr>
        <w:t xml:space="preserve">Future studies should also prospectively evaluate the inter and intra-rater reliability of NCCT markers. </w:t>
      </w:r>
    </w:p>
    <w:p w:rsidR="00F63F74" w:rsidRPr="006A1593" w:rsidRDefault="00F63F74" w:rsidP="00F63F74">
      <w:pPr>
        <w:rPr>
          <w:sz w:val="24"/>
          <w:szCs w:val="24"/>
          <w:lang w:val="en-US"/>
        </w:rPr>
      </w:pPr>
      <w:r w:rsidRPr="006A1593">
        <w:rPr>
          <w:sz w:val="24"/>
          <w:szCs w:val="24"/>
          <w:lang w:val="en-US"/>
        </w:rPr>
        <w:t xml:space="preserve">This approach, in combination with the current standards will allow cross-study comparisons and accelerate clinical translation of new findings in the acute ICH field. </w:t>
      </w:r>
      <w:r w:rsidR="00EE26BC" w:rsidRPr="006A1593">
        <w:rPr>
          <w:sz w:val="24"/>
          <w:szCs w:val="24"/>
          <w:lang w:val="en-US"/>
        </w:rPr>
        <w:t>S</w:t>
      </w:r>
      <w:r w:rsidRPr="006A1593">
        <w:rPr>
          <w:sz w:val="24"/>
          <w:szCs w:val="24"/>
          <w:lang w:val="en-US"/>
        </w:rPr>
        <w:t xml:space="preserve">tandardized approaches could enable individual patient-data meta-analyses of </w:t>
      </w:r>
      <w:r w:rsidR="00E64FFC" w:rsidRPr="006A1593">
        <w:rPr>
          <w:sz w:val="24"/>
          <w:szCs w:val="24"/>
          <w:lang w:val="en-US"/>
        </w:rPr>
        <w:t>RCT</w:t>
      </w:r>
      <w:r w:rsidRPr="006A1593">
        <w:rPr>
          <w:sz w:val="24"/>
          <w:szCs w:val="24"/>
          <w:lang w:val="en-US"/>
        </w:rPr>
        <w:t>, which are increasingly needed to obtain the sample sizes necessary. We hereby invite other researchers to join us in this effort.</w:t>
      </w:r>
    </w:p>
    <w:p w:rsidR="00F63F74" w:rsidRPr="006A1593" w:rsidRDefault="00F63F74" w:rsidP="00F63F74">
      <w:pPr>
        <w:rPr>
          <w:sz w:val="24"/>
          <w:szCs w:val="24"/>
          <w:lang w:val="en-US"/>
        </w:rPr>
      </w:pPr>
      <w:r w:rsidRPr="006A1593">
        <w:rPr>
          <w:sz w:val="24"/>
          <w:szCs w:val="24"/>
          <w:lang w:val="en-US"/>
        </w:rPr>
        <w:t xml:space="preserve">As a first step, previous </w:t>
      </w:r>
      <w:r w:rsidR="00E64FFC" w:rsidRPr="006A1593">
        <w:rPr>
          <w:sz w:val="24"/>
          <w:szCs w:val="24"/>
          <w:lang w:val="en-US"/>
        </w:rPr>
        <w:t>RCT</w:t>
      </w:r>
      <w:r w:rsidRPr="006A1593">
        <w:rPr>
          <w:sz w:val="24"/>
          <w:szCs w:val="24"/>
          <w:lang w:val="en-US"/>
        </w:rPr>
        <w:t xml:space="preserve"> of expansion therapies should look back at </w:t>
      </w:r>
      <w:r w:rsidR="00443B48" w:rsidRPr="006A1593">
        <w:rPr>
          <w:sz w:val="24"/>
          <w:szCs w:val="24"/>
          <w:lang w:val="en-US"/>
        </w:rPr>
        <w:t>NC</w:t>
      </w:r>
      <w:r w:rsidRPr="006A1593">
        <w:rPr>
          <w:sz w:val="24"/>
          <w:szCs w:val="24"/>
          <w:lang w:val="en-US"/>
        </w:rPr>
        <w:t xml:space="preserve">CT scans and see if there is data on any findings that </w:t>
      </w:r>
      <w:r w:rsidR="00BC2A74" w:rsidRPr="006A1593">
        <w:rPr>
          <w:sz w:val="24"/>
          <w:szCs w:val="24"/>
          <w:lang w:val="en-US"/>
        </w:rPr>
        <w:t>modify the effects of treatments</w:t>
      </w:r>
      <w:r w:rsidR="00B60A29" w:rsidRPr="006A1593">
        <w:rPr>
          <w:sz w:val="24"/>
          <w:szCs w:val="24"/>
          <w:lang w:val="en-US"/>
        </w:rPr>
        <w:t>. The currently available studies using the spot sign to select patients more likely to benefit from hemostatic treatment or intensive blood pressure lowering were underpowered because of recruitment challenges (STOP-IT, NCT00810888; SPOTLIGHT, NCT01359202)</w:t>
      </w:r>
      <w:r w:rsidR="00B60A29" w:rsidRPr="006A1593">
        <w:rPr>
          <w:sz w:val="24"/>
          <w:szCs w:val="24"/>
          <w:lang w:val="en-US"/>
        </w:rPr>
        <w:fldChar w:fldCharType="begin" w:fldLock="1"/>
      </w:r>
      <w:r w:rsidR="00A744D0" w:rsidRPr="006A1593">
        <w:rPr>
          <w:sz w:val="24"/>
          <w:szCs w:val="24"/>
          <w:lang w:val="en-US"/>
        </w:rPr>
        <w:instrText xml:space="preserve">ADDIN CSL_CITATION {"citationItems":[{"id":"ITEM-1","itemData":{"DOI":"10.1001/jamaneurol.2017.1014","ISSN":"2168-6157","PMID":"28628707","abstract":"Importance The computed tomographic angiography (CTA) spot sign is associated with intracerebral hemorrhage (ICH) expansion and may mark those patients most likely to benefit from intensive blood pressure (BP) reduction. Objective To investigate whether the spot sign is associated with ICH expansion across a wide range of centers and whether intensive BP reduction decreases hematoma expansion and improves outcome in patients with ICH and a spot sign. Design, Setting, and Participants SCORE-IT (Spot Sign Score in Restricting ICH Growth) is a preplanned prospective observational study nested in the Antihypertensive Treatment of Acute Cerebral Hemorrhage II (ATACH-II) randomized clinical trial. Participants included consecutive patients with primary ICH who underwent a CTA within 8 hours from onset at 59 sites from May 15, 2011, through December 19, 2015. Data were analyzed for the present study from July 1 to August 31, 2016. Main Outcomes and Measures Patients in ATACH-II were randomized to intensive (systolic BP target, &lt;140 mm Hg) vs standard (systolic BP target, &lt;180 mm Hg) BP reduction within 4.5 hours from onset. Expansion of ICH was defined as hematoma growth of greater than 33%, and an unfavorable outcome was defined as a 90-day modified Rankin Scale score of 4 or greater (range, 0-6). The association among BP reduction, ICH expansion, and outcome was investigated with multivariable logistic regression. Results A total of 133 patients (83 men [62.4%] and 50 women [37.6%]; mean [SD] age, 61.9 [13.1] years) were included. Of these, 53 (39.8%) had a spot sign, and 24 of 123 without missing data (19.5%) experienced ICH expansion. The spot sign was associated with expansion with sensitivity of 0.54 (95% CI, 0.34-0.74) and specificity of 0.63 (95% CI, 0.53-0.72). After adjustment for potential confounders, intensive BP treatment was not associated with a significant reduction of ICH expansion (relative risk, 0.83; 95% CI, 0.27-2.51; P = .74) or improved outcome (relative risk of 90-day modified Rankin Scale score </w:instrText>
      </w:r>
      <w:r w:rsidR="00A744D0" w:rsidRPr="006A1593">
        <w:rPr>
          <w:rFonts w:hint="eastAsia"/>
          <w:sz w:val="24"/>
          <w:szCs w:val="24"/>
          <w:lang w:val="en-US"/>
        </w:rPr>
        <w:instrText>≥</w:instrText>
      </w:r>
      <w:r w:rsidR="00A744D0" w:rsidRPr="006A1593">
        <w:rPr>
          <w:sz w:val="24"/>
          <w:szCs w:val="24"/>
          <w:lang w:val="en-US"/>
        </w:rPr>
        <w:instrText>4, 1.24; 95% CI, 0.53-2.91; P = .62) in spot sign-positive patients. Conclusions and Relevance The predictive performance of the spot sign for ICH expansion was lower than in prior reports from single-center studies. No evidence suggested that patients with ICH and a spot sign specifically benefit from intensive BP reduction. Trial Registration clinicaltrials.gov Identifier: NCT01176565.","author":[{"dropping-particle":"","family":"Morotti","given":"Andrea","non-dropping-particle":"","parse-names":false,"suffix":""},{"dropping-particle":"","family":"Brouwers","given":"H Bart","non-dropping-particle":"","parse-names":false,"suffix":""},{"dropping-particle":"","family":"Romero","given":"Javier M","non-dropping-particle":"","parse-names":false,"suffix":""},{"dropping-particle":"","family":"Jessel","given":"Michael J","non-dropping-particle":"","parse-names":false,"suffix":""},{"dropping-particle":"","family":"Vashkevich","given":"Anastasia","non-dropping-particle":"","parse-names":false,"suffix":""},{"dropping-particle":"","family":"Schwab","given":"Kristin","non-dropping-particle":"","parse-names":false,"suffix":""},{"dropping-particle":"","family":"Afzal","given":"Mohammad Rauf","non-dropping-particle":"","parse-names":false,"suffix":""},{"dropping-particle":"","family":"Cassarly","given":"Christy","non-dropping-particle":"","parse-names":false,"suffix":""},{"dropping-particle":"","family":"Greenberg","given":"Steven M","non-dropping-particle":"","parse-names":false,"suffix":""},{"dropping-particle":"","family":"Martin","given":"Renee Hebert","non-dropping-particle":"","parse-names":false,"suffix":""},{"dropping-particle":"","family":"Qureshi","given":"Adnan I","non-dropping-particle":"","parse-names":false,"suffix":""},{"dropping-particle":"","family":"Rosand","given":"Jonathan","non-dropping-particle":"","parse-names":false,"suffix":""},{"dropping-particle":"","family":"Goldstein","given":"Joshua N","non-dropping-particle":"","parse-names":false,"suffix":""},{"dropping-particle":"","family":"Antihypertensive Treatment of Acute Cerebral Hemorrhage II and Neurological Emergencies Treatment Trials Investigators","given":"","non-dropping-particle":"","parse-names":false,"suffix":""}],"container-title":"JAMA neurology","id":"ITEM-1","issue":"8","issued":{"date-parts":[["2017","8","1"]]},"page":"950-960","title":"Intensive Blood Pressure Reduction and Spot Sign in Intracerebral Hemorrhage: A Secondary Analysis of a Randomized Clinical Trial.","type":"article-journal","volume":"74"},"uris":["http://www.mendeley.com/documents/?uuid=c7544a2d-9b1f-3916-be67-2ee15a7d31e1"]}],"mendeley":{"formattedCitation":"&lt;sup&gt;13&lt;/sup&gt;","plainTextFormattedCitation":"13","previouslyFormattedCitation":"&lt;sup&gt;13&lt;/sup&gt;"},"properties":{"noteIndex":0},"schema":"https://github.com/citation-style-language/schema/raw/master/csl-citation.json"}</w:instrText>
      </w:r>
      <w:r w:rsidR="00B60A29" w:rsidRPr="006A1593">
        <w:rPr>
          <w:sz w:val="24"/>
          <w:szCs w:val="24"/>
          <w:lang w:val="en-US"/>
        </w:rPr>
        <w:fldChar w:fldCharType="separate"/>
      </w:r>
      <w:r w:rsidR="00A744D0" w:rsidRPr="006A1593">
        <w:rPr>
          <w:noProof/>
          <w:sz w:val="24"/>
          <w:szCs w:val="24"/>
          <w:vertAlign w:val="superscript"/>
          <w:lang w:val="en-US"/>
        </w:rPr>
        <w:t>13</w:t>
      </w:r>
      <w:r w:rsidR="00B60A29" w:rsidRPr="006A1593">
        <w:rPr>
          <w:sz w:val="24"/>
          <w:szCs w:val="24"/>
          <w:lang w:val="en-US"/>
        </w:rPr>
        <w:fldChar w:fldCharType="end"/>
      </w:r>
      <w:r w:rsidR="00B60A29" w:rsidRPr="006A1593">
        <w:rPr>
          <w:sz w:val="24"/>
          <w:szCs w:val="24"/>
          <w:lang w:val="en-US"/>
        </w:rPr>
        <w:t>.  Therefore, a plausible next step may be a</w:t>
      </w:r>
      <w:r w:rsidRPr="006A1593">
        <w:rPr>
          <w:sz w:val="24"/>
          <w:szCs w:val="24"/>
          <w:lang w:val="en-US"/>
        </w:rPr>
        <w:t xml:space="preserve"> new trial using NCCT markers to guide therapy. Another exciting opportunity to optimize the use of NCCT markers is through artificial intelligence.</w:t>
      </w:r>
      <w:r w:rsidR="009134B6" w:rsidRPr="006A1593">
        <w:rPr>
          <w:sz w:val="24"/>
          <w:szCs w:val="24"/>
          <w:lang w:val="en-US"/>
        </w:rPr>
        <w:fldChar w:fldCharType="begin" w:fldLock="1"/>
      </w:r>
      <w:r w:rsidR="00BA1458" w:rsidRPr="006A1593">
        <w:rPr>
          <w:sz w:val="24"/>
          <w:szCs w:val="24"/>
          <w:lang w:val="en-US"/>
        </w:rPr>
        <w:instrText>ADDIN CSL_CITATION {"citationItems":[{"id":"ITEM-1","itemData":{"DOI":"10.1038/s41568-018-0016-5","ISSN":"1474-175X","abstract":"Artificial intelligence (AI) algorithms, particularly deep learning, have demonstrated remarkable progress in image-recognition tasks. Methods ranging from convolutional neural networks to variational autoencoders have found myriad applications in the medical image analysis field, propelling it forward at a rapid pace. Historically, in radiology practice, trained physicians visually assessed medical images for the detection, characterization and monitoring of diseases. AI methods excel at automatically recognizing complex patterns in imaging data and providing quantitative, rather than qualitative, assessments of radiographic characteristics. In this Opinion article, we establish a general understanding of AI methods, particularly those pertaining to image-based tasks. We explore how these methods could impact multiple facets of radiology, with a general focus on applications in oncology, and demonstrate ways in which these methods are advancing the field. Finally, we discuss the challenges facing clinical implementation and provide our perspective on how the domain could be advanced.","author":[{"dropping-particle":"","family":"Hosny","given":"Ahmed","non-dropping-particle":"","parse-names":false,"suffix":""},{"dropping-particle":"","family":"Parmar","given":"Chintan","non-dropping-particle":"","parse-names":false,"suffix":""},{"dropping-particle":"","family":"Quackenbush","given":"John","non-dropping-particle":"","parse-names":false,"suffix":""},{"dropping-particle":"","family":"Schwartz","given":"Lawrence H.","non-dropping-particle":"","parse-names":false,"suffix":""},{"dropping-particle":"","family":"Aerts","given":"Hugo J. W. L.","non-dropping-particle":"","parse-names":false,"suffix":""}],"container-title":"Nature Reviews Cancer","id":"ITEM-1","issue":"8","issued":{"date-parts":[["2018","8","17"]]},"page":"500-510","publisher":"Nature Publishing Group","title":"Artificial intelligence in radiology","type":"article-journal","volume":"18"},"uris":["http://www.mendeley.com/documents/?uuid=530f4afd-9216-39f9-ba58-21c3ead351d7"]},{"id":"ITEM-2","itemData":{"DOI":"10.1001/jama.2018.11029","ISSN":"0098-7484","author":[{"dropping-particle":"","family":"Stead","given":"William W.","non-dropping-particle":"","parse-names":false,"suffix":""}],"container-title":"JAMA","id":"ITEM-2","issue":"11","issued":{"date-parts":[["2018","9","18"]]},"page":"1107","publisher":"American Medical Association","title":"Clinical Implications and Challenges of Artificial Intelligence and Deep Learning","type":"article-journal","volume":"320"},"uris":["http://www.mendeley.com/documents/?uuid=f4d375d8-86bd-33b4-bd35-cd98f66a4487"]}],"mendeley":{"formattedCitation":"&lt;sup&gt;77,78&lt;/sup&gt;","plainTextFormattedCitation":"77,78","previouslyFormattedCitation":"&lt;sup&gt;77,78&lt;/sup&gt;"},"properties":{"noteIndex":0},"schema":"https://github.com/citation-style-language/schema/raw/master/csl-citation.json"}</w:instrText>
      </w:r>
      <w:r w:rsidR="009134B6" w:rsidRPr="006A1593">
        <w:rPr>
          <w:sz w:val="24"/>
          <w:szCs w:val="24"/>
          <w:lang w:val="en-US"/>
        </w:rPr>
        <w:fldChar w:fldCharType="separate"/>
      </w:r>
      <w:r w:rsidR="00BA1458" w:rsidRPr="006A1593">
        <w:rPr>
          <w:noProof/>
          <w:sz w:val="24"/>
          <w:szCs w:val="24"/>
          <w:vertAlign w:val="superscript"/>
          <w:lang w:val="en-US"/>
        </w:rPr>
        <w:t>77,78</w:t>
      </w:r>
      <w:r w:rsidR="009134B6" w:rsidRPr="006A1593">
        <w:rPr>
          <w:sz w:val="24"/>
          <w:szCs w:val="24"/>
          <w:lang w:val="en-US"/>
        </w:rPr>
        <w:fldChar w:fldCharType="end"/>
      </w:r>
      <w:r w:rsidR="005956FF" w:rsidRPr="006A1593">
        <w:rPr>
          <w:sz w:val="24"/>
          <w:szCs w:val="24"/>
          <w:lang w:val="en-US"/>
        </w:rPr>
        <w:t xml:space="preserve"> </w:t>
      </w:r>
      <w:r w:rsidRPr="006A1593">
        <w:rPr>
          <w:sz w:val="24"/>
          <w:szCs w:val="24"/>
          <w:lang w:val="en-US"/>
        </w:rPr>
        <w:t>Artificial intelligence algorithms may analyze NCCT and develop machine</w:t>
      </w:r>
      <w:r w:rsidR="00593451" w:rsidRPr="006A1593">
        <w:rPr>
          <w:sz w:val="24"/>
          <w:szCs w:val="24"/>
          <w:lang w:val="en-US"/>
        </w:rPr>
        <w:t xml:space="preserve"> </w:t>
      </w:r>
      <w:r w:rsidRPr="006A1593">
        <w:rPr>
          <w:sz w:val="24"/>
          <w:szCs w:val="24"/>
          <w:lang w:val="en-US"/>
        </w:rPr>
        <w:t>learning algo</w:t>
      </w:r>
      <w:r w:rsidR="00772CCC" w:rsidRPr="006A1593">
        <w:rPr>
          <w:sz w:val="24"/>
          <w:szCs w:val="24"/>
          <w:lang w:val="en-US"/>
        </w:rPr>
        <w:t xml:space="preserve">rithms to predict </w:t>
      </w:r>
      <w:r w:rsidR="00E64FFC" w:rsidRPr="006A1593">
        <w:rPr>
          <w:sz w:val="24"/>
          <w:szCs w:val="24"/>
          <w:lang w:val="en-US"/>
        </w:rPr>
        <w:t>HE</w:t>
      </w:r>
      <w:r w:rsidR="005956FF" w:rsidRPr="006A1593">
        <w:rPr>
          <w:sz w:val="24"/>
          <w:szCs w:val="24"/>
          <w:lang w:val="en-US"/>
        </w:rPr>
        <w:t>.</w:t>
      </w:r>
    </w:p>
    <w:p w:rsidR="00F63F74" w:rsidRPr="006A1593" w:rsidRDefault="00F63F74" w:rsidP="00F63F74">
      <w:pPr>
        <w:rPr>
          <w:sz w:val="24"/>
          <w:szCs w:val="24"/>
          <w:lang w:val="en-US"/>
        </w:rPr>
      </w:pPr>
      <w:r w:rsidRPr="006A1593">
        <w:rPr>
          <w:sz w:val="24"/>
          <w:szCs w:val="24"/>
          <w:lang w:val="en-US"/>
        </w:rPr>
        <w:t xml:space="preserve">Finally, the standards suggested in our paper, were developed </w:t>
      </w:r>
      <w:proofErr w:type="gramStart"/>
      <w:r w:rsidRPr="006A1593">
        <w:rPr>
          <w:sz w:val="24"/>
          <w:szCs w:val="24"/>
          <w:lang w:val="en-US"/>
        </w:rPr>
        <w:t>on the basis of</w:t>
      </w:r>
      <w:proofErr w:type="gramEnd"/>
      <w:r w:rsidRPr="006A1593">
        <w:rPr>
          <w:sz w:val="24"/>
          <w:szCs w:val="24"/>
          <w:lang w:val="en-US"/>
        </w:rPr>
        <w:t xml:space="preserve"> consensus from an expert panel of clinical researchers, active in the field, using a standardized approach. However, this is a rapidly evolving area, and some of our recommendations are based on evidence from small studies, and occasionally less validated findings. The fact that there are so many NCCT markers suggest</w:t>
      </w:r>
      <w:r w:rsidR="005956FF" w:rsidRPr="006A1593">
        <w:rPr>
          <w:sz w:val="24"/>
          <w:szCs w:val="24"/>
          <w:lang w:val="en-US"/>
        </w:rPr>
        <w:t>s</w:t>
      </w:r>
      <w:r w:rsidRPr="006A1593">
        <w:rPr>
          <w:sz w:val="24"/>
          <w:szCs w:val="24"/>
          <w:lang w:val="en-US"/>
        </w:rPr>
        <w:t xml:space="preserve"> that a signal for a significant association with </w:t>
      </w:r>
      <w:r w:rsidR="00E64FFC" w:rsidRPr="006A1593">
        <w:rPr>
          <w:sz w:val="24"/>
          <w:szCs w:val="24"/>
          <w:lang w:val="en-US"/>
        </w:rPr>
        <w:t>HE</w:t>
      </w:r>
      <w:r w:rsidRPr="006A1593">
        <w:rPr>
          <w:sz w:val="24"/>
          <w:szCs w:val="24"/>
          <w:lang w:val="en-US"/>
        </w:rPr>
        <w:t xml:space="preserve"> is there, but more work is essential to </w:t>
      </w:r>
      <w:r w:rsidRPr="006A1593">
        <w:rPr>
          <w:sz w:val="24"/>
          <w:szCs w:val="24"/>
          <w:lang w:val="en-US"/>
        </w:rPr>
        <w:lastRenderedPageBreak/>
        <w:t xml:space="preserve">clarify this, refine and validate these standards. As more data become </w:t>
      </w:r>
      <w:proofErr w:type="gramStart"/>
      <w:r w:rsidRPr="006A1593">
        <w:rPr>
          <w:sz w:val="24"/>
          <w:szCs w:val="24"/>
          <w:lang w:val="en-US"/>
        </w:rPr>
        <w:t>available</w:t>
      </w:r>
      <w:proofErr w:type="gramEnd"/>
      <w:r w:rsidRPr="006A1593">
        <w:rPr>
          <w:sz w:val="24"/>
          <w:szCs w:val="24"/>
          <w:lang w:val="en-US"/>
        </w:rPr>
        <w:t xml:space="preserve"> we will undertake periodic revisions and refinement of NCCT consensus standards. The proposed priorities for future efforts are summarized in</w:t>
      </w:r>
      <w:r w:rsidR="00D930EC" w:rsidRPr="006A1593">
        <w:rPr>
          <w:sz w:val="24"/>
          <w:szCs w:val="24"/>
          <w:lang w:val="en-US"/>
        </w:rPr>
        <w:t xml:space="preserve"> Table 4</w:t>
      </w:r>
      <w:r w:rsidRPr="006A1593">
        <w:rPr>
          <w:sz w:val="24"/>
          <w:szCs w:val="24"/>
          <w:lang w:val="en-US"/>
        </w:rPr>
        <w:t>. In the meanwhile</w:t>
      </w:r>
      <w:r w:rsidR="005956FF" w:rsidRPr="006A1593">
        <w:rPr>
          <w:sz w:val="24"/>
          <w:szCs w:val="24"/>
          <w:lang w:val="en-US"/>
        </w:rPr>
        <w:t>,</w:t>
      </w:r>
      <w:r w:rsidRPr="006A1593">
        <w:rPr>
          <w:sz w:val="24"/>
          <w:szCs w:val="24"/>
          <w:lang w:val="en-US"/>
        </w:rPr>
        <w:t xml:space="preserve"> these standards and recommendations might facilitate a more consistent approach to the identification</w:t>
      </w:r>
      <w:r w:rsidR="00772CCC" w:rsidRPr="006A1593">
        <w:rPr>
          <w:sz w:val="24"/>
          <w:szCs w:val="24"/>
          <w:lang w:val="en-US"/>
        </w:rPr>
        <w:t xml:space="preserve"> of</w:t>
      </w:r>
      <w:r w:rsidRPr="006A1593">
        <w:rPr>
          <w:sz w:val="24"/>
          <w:szCs w:val="24"/>
          <w:lang w:val="en-US"/>
        </w:rPr>
        <w:t xml:space="preserve"> NCCT markers in acute ICH patients in research studies and clinical practice.</w:t>
      </w:r>
    </w:p>
    <w:p w:rsidR="000214BC" w:rsidRPr="006A1593" w:rsidRDefault="000214BC" w:rsidP="00EF4A21">
      <w:pPr>
        <w:spacing w:after="0" w:line="480" w:lineRule="auto"/>
        <w:rPr>
          <w:rFonts w:eastAsia="Times New Roman"/>
          <w:b/>
          <w:sz w:val="24"/>
          <w:szCs w:val="24"/>
          <w:lang w:val="en-US" w:eastAsia="it-IT"/>
        </w:rPr>
      </w:pPr>
    </w:p>
    <w:p w:rsidR="000214BC" w:rsidRPr="006A1593" w:rsidRDefault="000214BC" w:rsidP="00EF4A21">
      <w:pPr>
        <w:spacing w:after="0" w:line="480" w:lineRule="auto"/>
        <w:rPr>
          <w:rFonts w:eastAsia="Times New Roman"/>
          <w:b/>
          <w:sz w:val="24"/>
          <w:szCs w:val="24"/>
          <w:lang w:val="en-US" w:eastAsia="it-IT"/>
        </w:rPr>
      </w:pPr>
    </w:p>
    <w:p w:rsidR="000214BC" w:rsidRPr="006A1593" w:rsidRDefault="000214BC" w:rsidP="00EF4A21">
      <w:pPr>
        <w:spacing w:after="0" w:line="480" w:lineRule="auto"/>
        <w:rPr>
          <w:rFonts w:eastAsia="Times New Roman"/>
          <w:b/>
          <w:sz w:val="24"/>
          <w:szCs w:val="24"/>
          <w:lang w:val="en-US" w:eastAsia="it-IT"/>
        </w:rPr>
      </w:pPr>
    </w:p>
    <w:p w:rsidR="000214BC" w:rsidRPr="006A1593" w:rsidRDefault="000214BC" w:rsidP="00EF4A21">
      <w:pPr>
        <w:spacing w:after="0" w:line="480" w:lineRule="auto"/>
        <w:rPr>
          <w:rFonts w:eastAsia="Times New Roman"/>
          <w:b/>
          <w:sz w:val="24"/>
          <w:szCs w:val="24"/>
          <w:lang w:val="en-US" w:eastAsia="it-IT"/>
        </w:rPr>
      </w:pPr>
    </w:p>
    <w:p w:rsidR="000214BC" w:rsidRPr="006A1593" w:rsidRDefault="000214BC" w:rsidP="00EF4A21">
      <w:pPr>
        <w:spacing w:after="0" w:line="480" w:lineRule="auto"/>
        <w:rPr>
          <w:rFonts w:eastAsia="Times New Roman"/>
          <w:b/>
          <w:sz w:val="24"/>
          <w:szCs w:val="24"/>
          <w:lang w:val="en-US" w:eastAsia="it-IT"/>
        </w:rPr>
      </w:pPr>
    </w:p>
    <w:p w:rsidR="000214BC" w:rsidRPr="006A1593" w:rsidRDefault="000214BC" w:rsidP="00EF4A21">
      <w:pPr>
        <w:spacing w:after="0" w:line="480" w:lineRule="auto"/>
        <w:rPr>
          <w:rFonts w:eastAsia="Times New Roman"/>
          <w:b/>
          <w:sz w:val="24"/>
          <w:szCs w:val="24"/>
          <w:lang w:val="en-US" w:eastAsia="it-IT"/>
        </w:rPr>
      </w:pPr>
    </w:p>
    <w:p w:rsidR="006A1593" w:rsidRPr="006A1593" w:rsidRDefault="006A1593" w:rsidP="00EF4A21">
      <w:pPr>
        <w:spacing w:after="0" w:line="480" w:lineRule="auto"/>
        <w:rPr>
          <w:rFonts w:eastAsia="Times New Roman"/>
          <w:b/>
          <w:sz w:val="24"/>
          <w:szCs w:val="24"/>
          <w:lang w:val="en-US" w:eastAsia="it-IT"/>
        </w:rPr>
      </w:pPr>
    </w:p>
    <w:p w:rsidR="006A1593" w:rsidRPr="006A1593" w:rsidRDefault="006A1593" w:rsidP="00EF4A21">
      <w:pPr>
        <w:spacing w:after="0" w:line="480" w:lineRule="auto"/>
        <w:rPr>
          <w:rFonts w:eastAsia="Times New Roman"/>
          <w:b/>
          <w:sz w:val="24"/>
          <w:szCs w:val="24"/>
          <w:lang w:val="en-US" w:eastAsia="it-IT"/>
        </w:rPr>
      </w:pPr>
    </w:p>
    <w:p w:rsidR="006A1593" w:rsidRPr="006A1593" w:rsidRDefault="006A1593" w:rsidP="00EF4A21">
      <w:pPr>
        <w:spacing w:after="0" w:line="480" w:lineRule="auto"/>
        <w:rPr>
          <w:rFonts w:eastAsia="Times New Roman"/>
          <w:b/>
          <w:sz w:val="24"/>
          <w:szCs w:val="24"/>
          <w:lang w:val="en-US" w:eastAsia="it-IT"/>
        </w:rPr>
      </w:pPr>
    </w:p>
    <w:p w:rsidR="006A1593" w:rsidRPr="006A1593" w:rsidRDefault="006A1593" w:rsidP="00EF4A21">
      <w:pPr>
        <w:spacing w:after="0" w:line="480" w:lineRule="auto"/>
        <w:rPr>
          <w:rFonts w:eastAsia="Times New Roman"/>
          <w:b/>
          <w:sz w:val="24"/>
          <w:szCs w:val="24"/>
          <w:lang w:val="en-US" w:eastAsia="it-IT"/>
        </w:rPr>
      </w:pPr>
    </w:p>
    <w:p w:rsidR="006A1593" w:rsidRPr="006A1593" w:rsidRDefault="006A1593" w:rsidP="00EF4A21">
      <w:pPr>
        <w:spacing w:after="0" w:line="480" w:lineRule="auto"/>
        <w:rPr>
          <w:rFonts w:eastAsia="Times New Roman"/>
          <w:b/>
          <w:sz w:val="24"/>
          <w:szCs w:val="24"/>
          <w:lang w:val="en-US" w:eastAsia="it-IT"/>
        </w:rPr>
      </w:pPr>
    </w:p>
    <w:p w:rsidR="006A1593" w:rsidRPr="006A1593" w:rsidRDefault="006A1593" w:rsidP="00EF4A21">
      <w:pPr>
        <w:spacing w:after="0" w:line="480" w:lineRule="auto"/>
        <w:rPr>
          <w:rFonts w:eastAsia="Times New Roman"/>
          <w:b/>
          <w:sz w:val="24"/>
          <w:szCs w:val="24"/>
          <w:lang w:val="en-US" w:eastAsia="it-IT"/>
        </w:rPr>
      </w:pPr>
    </w:p>
    <w:p w:rsidR="006A1593" w:rsidRPr="006A1593" w:rsidRDefault="006A1593" w:rsidP="00EF4A21">
      <w:pPr>
        <w:spacing w:after="0" w:line="480" w:lineRule="auto"/>
        <w:rPr>
          <w:rFonts w:eastAsia="Times New Roman"/>
          <w:b/>
          <w:sz w:val="24"/>
          <w:szCs w:val="24"/>
          <w:lang w:val="en-US" w:eastAsia="it-IT"/>
        </w:rPr>
      </w:pPr>
    </w:p>
    <w:p w:rsidR="006A1593" w:rsidRPr="006A1593" w:rsidRDefault="006A1593" w:rsidP="00EF4A21">
      <w:pPr>
        <w:spacing w:after="0" w:line="480" w:lineRule="auto"/>
        <w:rPr>
          <w:rFonts w:eastAsia="Times New Roman"/>
          <w:b/>
          <w:sz w:val="24"/>
          <w:szCs w:val="24"/>
          <w:lang w:val="en-US" w:eastAsia="it-IT"/>
        </w:rPr>
      </w:pPr>
    </w:p>
    <w:p w:rsidR="006A1593" w:rsidRPr="006A1593" w:rsidRDefault="006A1593" w:rsidP="00EF4A21">
      <w:pPr>
        <w:spacing w:after="0" w:line="480" w:lineRule="auto"/>
        <w:rPr>
          <w:rFonts w:eastAsia="Times New Roman"/>
          <w:b/>
          <w:sz w:val="24"/>
          <w:szCs w:val="24"/>
          <w:lang w:val="en-US" w:eastAsia="it-IT"/>
        </w:rPr>
      </w:pPr>
    </w:p>
    <w:p w:rsidR="006A1593" w:rsidRPr="006A1593" w:rsidRDefault="006A1593" w:rsidP="00EF4A21">
      <w:pPr>
        <w:spacing w:after="0" w:line="480" w:lineRule="auto"/>
        <w:rPr>
          <w:rFonts w:eastAsia="Times New Roman"/>
          <w:b/>
          <w:sz w:val="24"/>
          <w:szCs w:val="24"/>
          <w:lang w:val="en-US" w:eastAsia="it-IT"/>
        </w:rPr>
      </w:pPr>
    </w:p>
    <w:p w:rsidR="006A1593" w:rsidRPr="006A1593" w:rsidRDefault="006A1593" w:rsidP="00EF4A21">
      <w:pPr>
        <w:spacing w:after="0" w:line="480" w:lineRule="auto"/>
        <w:rPr>
          <w:rFonts w:eastAsia="Times New Roman"/>
          <w:b/>
          <w:sz w:val="24"/>
          <w:szCs w:val="24"/>
          <w:lang w:val="en-US" w:eastAsia="it-IT"/>
        </w:rPr>
      </w:pPr>
    </w:p>
    <w:p w:rsidR="006A1593" w:rsidRPr="006A1593" w:rsidRDefault="006A1593" w:rsidP="00EF4A21">
      <w:pPr>
        <w:spacing w:after="0" w:line="480" w:lineRule="auto"/>
        <w:rPr>
          <w:rFonts w:eastAsia="Times New Roman"/>
          <w:b/>
          <w:sz w:val="24"/>
          <w:szCs w:val="24"/>
          <w:lang w:val="en-US" w:eastAsia="it-IT"/>
        </w:rPr>
      </w:pPr>
    </w:p>
    <w:p w:rsidR="006A1593" w:rsidRPr="006A1593" w:rsidRDefault="006A1593" w:rsidP="00EF4A21">
      <w:pPr>
        <w:spacing w:after="0" w:line="480" w:lineRule="auto"/>
        <w:rPr>
          <w:rFonts w:eastAsia="Times New Roman"/>
          <w:b/>
          <w:sz w:val="24"/>
          <w:szCs w:val="24"/>
          <w:lang w:val="en-US" w:eastAsia="it-IT"/>
        </w:rPr>
      </w:pPr>
    </w:p>
    <w:p w:rsidR="000214BC" w:rsidRPr="006A1593" w:rsidRDefault="000214BC" w:rsidP="00EF4A21">
      <w:pPr>
        <w:spacing w:after="0" w:line="480" w:lineRule="auto"/>
        <w:rPr>
          <w:rFonts w:eastAsia="Times New Roman"/>
          <w:b/>
          <w:sz w:val="24"/>
          <w:szCs w:val="24"/>
          <w:lang w:val="en-US" w:eastAsia="it-IT"/>
        </w:rPr>
      </w:pPr>
    </w:p>
    <w:p w:rsidR="000214BC" w:rsidRPr="006A1593" w:rsidRDefault="000214BC" w:rsidP="00EF4A21">
      <w:pPr>
        <w:spacing w:after="0" w:line="480" w:lineRule="auto"/>
        <w:rPr>
          <w:rFonts w:eastAsia="Times New Roman"/>
          <w:b/>
          <w:sz w:val="24"/>
          <w:szCs w:val="24"/>
          <w:lang w:val="en-US" w:eastAsia="it-IT"/>
        </w:rPr>
      </w:pPr>
    </w:p>
    <w:p w:rsidR="000214BC" w:rsidRPr="006A1593" w:rsidRDefault="000214BC" w:rsidP="00EF4A21">
      <w:pPr>
        <w:spacing w:after="0" w:line="480" w:lineRule="auto"/>
        <w:rPr>
          <w:rFonts w:eastAsia="Times New Roman"/>
          <w:b/>
          <w:sz w:val="24"/>
          <w:szCs w:val="24"/>
          <w:lang w:val="en-US" w:eastAsia="it-IT"/>
        </w:rPr>
      </w:pPr>
      <w:r w:rsidRPr="006A1593">
        <w:rPr>
          <w:rFonts w:eastAsia="Times New Roman"/>
          <w:b/>
          <w:sz w:val="24"/>
          <w:szCs w:val="24"/>
          <w:lang w:val="en-US" w:eastAsia="it-IT"/>
        </w:rPr>
        <w:lastRenderedPageBreak/>
        <w:t>ACKNOWLEDGMENTS</w:t>
      </w:r>
    </w:p>
    <w:p w:rsidR="000214BC" w:rsidRPr="006A1593" w:rsidRDefault="000214BC" w:rsidP="000214BC">
      <w:pPr>
        <w:spacing w:after="60"/>
        <w:rPr>
          <w:color w:val="231F20"/>
          <w:sz w:val="24"/>
          <w:szCs w:val="24"/>
          <w:lang w:val="en-US"/>
        </w:rPr>
      </w:pPr>
      <w:r w:rsidRPr="006A1593">
        <w:rPr>
          <w:color w:val="231F20"/>
          <w:sz w:val="24"/>
          <w:szCs w:val="24"/>
          <w:lang w:val="en-US"/>
        </w:rPr>
        <w:t xml:space="preserve">Dar </w:t>
      </w:r>
      <w:proofErr w:type="spellStart"/>
      <w:r w:rsidRPr="006A1593">
        <w:rPr>
          <w:color w:val="231F20"/>
          <w:sz w:val="24"/>
          <w:szCs w:val="24"/>
          <w:lang w:val="en-US"/>
        </w:rPr>
        <w:t>Dowlatshahi</w:t>
      </w:r>
      <w:proofErr w:type="spellEnd"/>
      <w:r w:rsidRPr="006A1593">
        <w:rPr>
          <w:color w:val="231F20"/>
          <w:sz w:val="24"/>
          <w:szCs w:val="24"/>
          <w:lang w:val="en-US"/>
        </w:rPr>
        <w:t xml:space="preserve"> is supported by a Heart and Stroke Foundation of Canada Clinician-Scientist Award. Qi Li is supported by grants from National Key Research and Development Program of China (No. 2018YFC1312200, No.2018YFC1312203), the National Health and Family Planning Commission of Chongqing (Grant No. 2017MSXM014), China Association for Science and Technology Young Talent Project (Grant No. 2017QNRC001). </w:t>
      </w:r>
      <w:proofErr w:type="spellStart"/>
      <w:r w:rsidRPr="006A1593">
        <w:rPr>
          <w:color w:val="231F20"/>
          <w:sz w:val="24"/>
          <w:szCs w:val="24"/>
          <w:lang w:val="en-US"/>
        </w:rPr>
        <w:t>Zien</w:t>
      </w:r>
      <w:proofErr w:type="spellEnd"/>
      <w:r w:rsidRPr="006A1593">
        <w:rPr>
          <w:color w:val="231F20"/>
          <w:sz w:val="24"/>
          <w:szCs w:val="24"/>
          <w:lang w:val="en-US"/>
        </w:rPr>
        <w:t xml:space="preserve"> Zhou holds a Scientia PhD Scholarship from the University of New South Wales, Sydney (2018-2022). The PREDICT study was funded by </w:t>
      </w:r>
      <w:proofErr w:type="gramStart"/>
      <w:r w:rsidRPr="006A1593">
        <w:rPr>
          <w:color w:val="231F20"/>
          <w:sz w:val="24"/>
          <w:szCs w:val="24"/>
          <w:lang w:val="en-US"/>
        </w:rPr>
        <w:t>a</w:t>
      </w:r>
      <w:proofErr w:type="gramEnd"/>
      <w:r w:rsidRPr="006A1593">
        <w:rPr>
          <w:color w:val="231F20"/>
          <w:sz w:val="24"/>
          <w:szCs w:val="24"/>
          <w:lang w:val="en-US"/>
        </w:rPr>
        <w:t xml:space="preserve"> unrestricted grant from </w:t>
      </w:r>
      <w:proofErr w:type="spellStart"/>
      <w:r w:rsidRPr="006A1593">
        <w:rPr>
          <w:color w:val="231F20"/>
          <w:sz w:val="24"/>
          <w:szCs w:val="24"/>
          <w:lang w:val="en-US"/>
        </w:rPr>
        <w:t>NovoNordisk</w:t>
      </w:r>
      <w:proofErr w:type="spellEnd"/>
      <w:r w:rsidRPr="006A1593">
        <w:rPr>
          <w:color w:val="231F20"/>
          <w:sz w:val="24"/>
          <w:szCs w:val="24"/>
          <w:lang w:val="en-US"/>
        </w:rPr>
        <w:t xml:space="preserve"> Canada.</w:t>
      </w:r>
    </w:p>
    <w:p w:rsidR="000214BC" w:rsidRPr="006A1593" w:rsidRDefault="000214BC" w:rsidP="000214BC">
      <w:pPr>
        <w:spacing w:after="60"/>
        <w:rPr>
          <w:color w:val="231F20"/>
          <w:sz w:val="24"/>
          <w:szCs w:val="24"/>
          <w:lang w:val="en-US"/>
        </w:rPr>
      </w:pPr>
      <w:r w:rsidRPr="006A1593">
        <w:rPr>
          <w:color w:val="231F20"/>
          <w:sz w:val="24"/>
          <w:szCs w:val="24"/>
          <w:lang w:val="en-US"/>
        </w:rPr>
        <w:t xml:space="preserve">The funding source did not have any involvement in study design, data collection, analysis, and interpretation; writing of the manuscript; or decision to submit the study for publication. </w:t>
      </w:r>
    </w:p>
    <w:p w:rsidR="000214BC" w:rsidRPr="006A1593" w:rsidRDefault="000214BC" w:rsidP="00EF4A21">
      <w:pPr>
        <w:spacing w:after="0" w:line="480" w:lineRule="auto"/>
        <w:rPr>
          <w:rFonts w:eastAsia="Times New Roman"/>
          <w:b/>
          <w:sz w:val="24"/>
          <w:szCs w:val="24"/>
          <w:lang w:val="en-US" w:eastAsia="it-IT"/>
        </w:rPr>
      </w:pPr>
    </w:p>
    <w:p w:rsidR="00EF4A21" w:rsidRPr="006A1593" w:rsidRDefault="00EF4A21" w:rsidP="00EF4A21">
      <w:pPr>
        <w:spacing w:after="0" w:line="480" w:lineRule="auto"/>
        <w:rPr>
          <w:rFonts w:eastAsia="Times New Roman"/>
          <w:sz w:val="24"/>
          <w:szCs w:val="24"/>
          <w:lang w:val="en-US" w:eastAsia="it-IT"/>
        </w:rPr>
      </w:pPr>
      <w:r w:rsidRPr="006A1593">
        <w:rPr>
          <w:rFonts w:eastAsia="Times New Roman"/>
          <w:b/>
          <w:sz w:val="24"/>
          <w:szCs w:val="24"/>
          <w:lang w:val="en-US" w:eastAsia="it-IT"/>
        </w:rPr>
        <w:t>AUTHOR CONTRIBUTIONS</w:t>
      </w:r>
    </w:p>
    <w:p w:rsidR="00EF4A21" w:rsidRPr="006A1593" w:rsidRDefault="00A048E7" w:rsidP="004B6866">
      <w:pPr>
        <w:spacing w:after="0"/>
        <w:outlineLvl w:val="0"/>
        <w:rPr>
          <w:color w:val="231F20"/>
          <w:sz w:val="24"/>
          <w:szCs w:val="24"/>
          <w:lang w:val="en-US"/>
        </w:rPr>
      </w:pPr>
      <w:r w:rsidRPr="006A1593">
        <w:rPr>
          <w:color w:val="231F20"/>
          <w:sz w:val="24"/>
          <w:szCs w:val="24"/>
          <w:lang w:val="en-US"/>
        </w:rPr>
        <w:t>AM, GB, JNG and AC contributed to the conception and design of the study</w:t>
      </w:r>
      <w:r w:rsidR="00065411" w:rsidRPr="006A1593">
        <w:rPr>
          <w:color w:val="231F20"/>
          <w:sz w:val="24"/>
          <w:szCs w:val="24"/>
          <w:lang w:val="en-US"/>
        </w:rPr>
        <w:t>.</w:t>
      </w:r>
    </w:p>
    <w:p w:rsidR="00065411" w:rsidRPr="006A1593" w:rsidRDefault="00065411" w:rsidP="004B6866">
      <w:pPr>
        <w:spacing w:after="0"/>
        <w:outlineLvl w:val="0"/>
        <w:rPr>
          <w:color w:val="231F20"/>
          <w:sz w:val="24"/>
          <w:szCs w:val="24"/>
          <w:lang w:val="en-US"/>
        </w:rPr>
      </w:pPr>
      <w:r w:rsidRPr="006A1593">
        <w:rPr>
          <w:color w:val="231F20"/>
          <w:sz w:val="24"/>
          <w:szCs w:val="24"/>
          <w:lang w:val="en-US"/>
        </w:rPr>
        <w:t>AM, GB, DD and AC drafted the manuscript</w:t>
      </w:r>
      <w:r w:rsidR="00871505" w:rsidRPr="006A1593">
        <w:rPr>
          <w:color w:val="231F20"/>
          <w:sz w:val="24"/>
          <w:szCs w:val="24"/>
          <w:lang w:val="en-US"/>
        </w:rPr>
        <w:t xml:space="preserve"> and figures</w:t>
      </w:r>
      <w:r w:rsidRPr="006A1593">
        <w:rPr>
          <w:color w:val="231F20"/>
          <w:sz w:val="24"/>
          <w:szCs w:val="24"/>
          <w:lang w:val="en-US"/>
        </w:rPr>
        <w:t>.</w:t>
      </w:r>
    </w:p>
    <w:p w:rsidR="00A048E7" w:rsidRPr="006A1593" w:rsidRDefault="00A048E7" w:rsidP="004B6866">
      <w:pPr>
        <w:spacing w:after="0"/>
        <w:outlineLvl w:val="0"/>
        <w:rPr>
          <w:color w:val="231F20"/>
          <w:sz w:val="24"/>
          <w:szCs w:val="24"/>
          <w:lang w:val="en-US"/>
        </w:rPr>
      </w:pPr>
      <w:r w:rsidRPr="006A1593">
        <w:rPr>
          <w:color w:val="231F20"/>
          <w:sz w:val="24"/>
          <w:szCs w:val="24"/>
          <w:lang w:val="en-US"/>
        </w:rPr>
        <w:t>All Authors contributed to the acquisition and analysis of data</w:t>
      </w:r>
      <w:r w:rsidR="00065411" w:rsidRPr="006A1593">
        <w:rPr>
          <w:color w:val="231F20"/>
          <w:sz w:val="24"/>
          <w:szCs w:val="24"/>
          <w:lang w:val="en-US"/>
        </w:rPr>
        <w:t>.</w:t>
      </w:r>
    </w:p>
    <w:p w:rsidR="00A048E7" w:rsidRPr="006A1593" w:rsidRDefault="00A048E7" w:rsidP="00EF4A21">
      <w:pPr>
        <w:spacing w:after="0" w:line="480" w:lineRule="auto"/>
        <w:outlineLvl w:val="0"/>
        <w:rPr>
          <w:b/>
          <w:color w:val="231F20"/>
          <w:sz w:val="24"/>
          <w:szCs w:val="24"/>
          <w:lang w:val="en-US"/>
        </w:rPr>
      </w:pPr>
    </w:p>
    <w:p w:rsidR="00EF4A21" w:rsidRPr="006A1593" w:rsidRDefault="00EF4A21" w:rsidP="00EF4A21">
      <w:pPr>
        <w:spacing w:after="0" w:line="480" w:lineRule="auto"/>
        <w:outlineLvl w:val="0"/>
        <w:rPr>
          <w:b/>
          <w:color w:val="231F20"/>
          <w:sz w:val="24"/>
          <w:szCs w:val="24"/>
          <w:lang w:val="en-US"/>
        </w:rPr>
      </w:pPr>
      <w:r w:rsidRPr="006A1593">
        <w:rPr>
          <w:b/>
          <w:color w:val="231F20"/>
          <w:sz w:val="24"/>
          <w:szCs w:val="24"/>
          <w:lang w:val="en-US"/>
        </w:rPr>
        <w:t>POTENTIAL CONFLICTS OF INTEREST</w:t>
      </w:r>
    </w:p>
    <w:p w:rsidR="00EF4A21" w:rsidRPr="006A1593" w:rsidRDefault="00065411" w:rsidP="00EF4A21">
      <w:pPr>
        <w:spacing w:after="60"/>
        <w:rPr>
          <w:color w:val="231F20"/>
          <w:sz w:val="24"/>
          <w:szCs w:val="24"/>
          <w:lang w:val="en-US"/>
        </w:rPr>
      </w:pPr>
      <w:r w:rsidRPr="006A1593">
        <w:rPr>
          <w:color w:val="231F20"/>
          <w:sz w:val="24"/>
          <w:szCs w:val="24"/>
          <w:lang w:val="en-US"/>
        </w:rPr>
        <w:t>None.</w:t>
      </w:r>
    </w:p>
    <w:p w:rsidR="00EF4A21" w:rsidRPr="006A1593" w:rsidRDefault="00EF4A21" w:rsidP="00EF4A21">
      <w:pPr>
        <w:spacing w:after="60" w:line="480" w:lineRule="auto"/>
        <w:outlineLvl w:val="0"/>
        <w:rPr>
          <w:b/>
          <w:color w:val="231F20"/>
          <w:sz w:val="24"/>
          <w:szCs w:val="24"/>
          <w:lang w:val="en-US"/>
        </w:rPr>
      </w:pPr>
    </w:p>
    <w:p w:rsidR="00460669" w:rsidRPr="006A1593" w:rsidRDefault="000615B2" w:rsidP="000615B2">
      <w:pPr>
        <w:spacing w:after="60"/>
        <w:rPr>
          <w:color w:val="231F20"/>
          <w:sz w:val="24"/>
          <w:szCs w:val="24"/>
          <w:lang w:val="en-US"/>
        </w:rPr>
      </w:pPr>
      <w:r w:rsidRPr="006A1593">
        <w:rPr>
          <w:color w:val="231F20"/>
          <w:sz w:val="24"/>
          <w:szCs w:val="24"/>
          <w:lang w:val="en-US"/>
        </w:rPr>
        <w:br w:type="page"/>
      </w:r>
      <w:r w:rsidR="00460669" w:rsidRPr="006A1593">
        <w:rPr>
          <w:b/>
          <w:sz w:val="24"/>
          <w:szCs w:val="24"/>
          <w:lang w:val="en-US"/>
        </w:rPr>
        <w:lastRenderedPageBreak/>
        <w:t>REFERENCES</w:t>
      </w:r>
    </w:p>
    <w:p w:rsidR="00BA1458" w:rsidRPr="006A1593" w:rsidRDefault="009134B6" w:rsidP="00BA1458">
      <w:pPr>
        <w:widowControl w:val="0"/>
        <w:autoSpaceDE w:val="0"/>
        <w:autoSpaceDN w:val="0"/>
        <w:adjustRightInd w:val="0"/>
        <w:spacing w:before="100" w:after="100" w:line="240" w:lineRule="auto"/>
        <w:ind w:left="640" w:hanging="640"/>
        <w:rPr>
          <w:noProof/>
          <w:sz w:val="24"/>
          <w:szCs w:val="24"/>
          <w:lang w:val="en-US"/>
        </w:rPr>
      </w:pPr>
      <w:r w:rsidRPr="006A1593">
        <w:rPr>
          <w:sz w:val="24"/>
          <w:szCs w:val="24"/>
          <w:lang w:val="en-US"/>
        </w:rPr>
        <w:fldChar w:fldCharType="begin" w:fldLock="1"/>
      </w:r>
      <w:r w:rsidR="001C3378" w:rsidRPr="006A1593">
        <w:rPr>
          <w:sz w:val="24"/>
          <w:szCs w:val="24"/>
          <w:lang w:val="en-US"/>
        </w:rPr>
        <w:instrText xml:space="preserve">ADDIN Mendeley Bibliography CSL_BIBLIOGRAPHY </w:instrText>
      </w:r>
      <w:r w:rsidRPr="006A1593">
        <w:rPr>
          <w:sz w:val="24"/>
          <w:szCs w:val="24"/>
          <w:lang w:val="en-US"/>
        </w:rPr>
        <w:fldChar w:fldCharType="separate"/>
      </w:r>
      <w:r w:rsidR="00BA1458" w:rsidRPr="006A1593">
        <w:rPr>
          <w:noProof/>
          <w:sz w:val="24"/>
          <w:szCs w:val="24"/>
          <w:lang w:val="en-US"/>
        </w:rPr>
        <w:t xml:space="preserve">1. </w:t>
      </w:r>
      <w:r w:rsidR="00BA1458" w:rsidRPr="006A1593">
        <w:rPr>
          <w:noProof/>
          <w:sz w:val="24"/>
          <w:szCs w:val="24"/>
          <w:lang w:val="en-US"/>
        </w:rPr>
        <w:tab/>
        <w:t>Qureshi AI, Mendelow AD, Hanley DF. Intracerebral haemorrhage. Lancet 2009;373(9675):1632–1644.</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2. </w:t>
      </w:r>
      <w:r w:rsidRPr="006A1593">
        <w:rPr>
          <w:noProof/>
          <w:sz w:val="24"/>
          <w:szCs w:val="24"/>
          <w:lang w:val="en-US"/>
        </w:rPr>
        <w:tab/>
        <w:t>Feigin VL, Krishnamurthi R V, Parmar P, et al. Update on the Global Burden of Ischemic and Hemorrhagic Stroke in 1990-2013: The GBD 2013 Study. Neuroepidemiology 2015;45(3):161–76.</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3. </w:t>
      </w:r>
      <w:r w:rsidRPr="006A1593">
        <w:rPr>
          <w:noProof/>
          <w:sz w:val="24"/>
          <w:szCs w:val="24"/>
          <w:lang w:val="en-US"/>
        </w:rPr>
        <w:tab/>
        <w:t>Hemphill JC, Greenberg SM, Anderson CS, et al. Guidelines for the Management of Spontaneous Intracerebral Hemorrhage: A Guideline for Healthcare Professionals From the American Heart Association/American Stroke Association. Stroke. 2015;46(7):2032–60.</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4. </w:t>
      </w:r>
      <w:r w:rsidRPr="006A1593">
        <w:rPr>
          <w:noProof/>
          <w:sz w:val="24"/>
          <w:szCs w:val="24"/>
          <w:lang w:val="en-US"/>
        </w:rPr>
        <w:tab/>
        <w:t>Steiner T, Al-Shahi Salman R, Beer R, et al. European Stroke Organisation (ESO) guidelines for the management of spontaneous intracerebral hemorrhage. Int. J. Stroke 2014;9:840–855.</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5. </w:t>
      </w:r>
      <w:r w:rsidRPr="006A1593">
        <w:rPr>
          <w:noProof/>
          <w:sz w:val="24"/>
          <w:szCs w:val="24"/>
          <w:lang w:val="en-US"/>
        </w:rPr>
        <w:tab/>
        <w:t>Steiner T, Bösel J. Options to restrict hematoma expansion after spontaneous intracerebral hemorrhage. Stroke 2010;41(2):402–409.</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6. </w:t>
      </w:r>
      <w:r w:rsidRPr="006A1593">
        <w:rPr>
          <w:noProof/>
          <w:sz w:val="24"/>
          <w:szCs w:val="24"/>
          <w:lang w:val="en-US"/>
        </w:rPr>
        <w:tab/>
        <w:t>Dowlatshahi D, Demchuk  a. M, Flaherty ML, et al. Defining hematoma expansion in intracerebral hemorrhage: Relationship with patient outcomes. Neurology 2011;76(14):1238–1244.</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rPr>
      </w:pPr>
      <w:r w:rsidRPr="006A1593">
        <w:rPr>
          <w:noProof/>
          <w:sz w:val="24"/>
          <w:szCs w:val="24"/>
          <w:lang w:val="en-US"/>
        </w:rPr>
        <w:t xml:space="preserve">7. </w:t>
      </w:r>
      <w:r w:rsidRPr="006A1593">
        <w:rPr>
          <w:noProof/>
          <w:sz w:val="24"/>
          <w:szCs w:val="24"/>
          <w:lang w:val="en-US"/>
        </w:rPr>
        <w:tab/>
        <w:t xml:space="preserve">Demchuk AM, Dowlatshahi D, Rodriguez-Luna D, et al. Prediction of haematoma growth and outcome in patients with intracerebral haemorrhage using the CT-angiography spot sign (PREDICT): A prospective observational study. </w:t>
      </w:r>
      <w:r w:rsidRPr="006A1593">
        <w:rPr>
          <w:noProof/>
          <w:sz w:val="24"/>
          <w:szCs w:val="24"/>
        </w:rPr>
        <w:t>Lancet Neurol. 2012;11(4):307–314.</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rPr>
        <w:t xml:space="preserve">8. </w:t>
      </w:r>
      <w:r w:rsidRPr="006A1593">
        <w:rPr>
          <w:noProof/>
          <w:sz w:val="24"/>
          <w:szCs w:val="24"/>
        </w:rPr>
        <w:tab/>
        <w:t xml:space="preserve">Qureshi AI, Palesch YY, Barsan WG, et al. </w:t>
      </w:r>
      <w:r w:rsidRPr="006A1593">
        <w:rPr>
          <w:noProof/>
          <w:sz w:val="24"/>
          <w:szCs w:val="24"/>
          <w:lang w:val="en-US"/>
        </w:rPr>
        <w:t>Intensive Blood-Pressure Lowering in Patients with Acute Cerebral Hemorrhage. N Engl J Med. 2016;375(11):1033-43.</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9. </w:t>
      </w:r>
      <w:r w:rsidRPr="006A1593">
        <w:rPr>
          <w:noProof/>
          <w:sz w:val="24"/>
          <w:szCs w:val="24"/>
          <w:lang w:val="en-US"/>
        </w:rPr>
        <w:tab/>
        <w:t>Anderson CS, Heeley E, Huang Y, et al. Rapid Blood-Pressure Lowering in Patients with Acute Intracerebral Hemorrhage. N. Engl. J. Med. 2013;368(25):2355–2365.</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10. </w:t>
      </w:r>
      <w:r w:rsidRPr="006A1593">
        <w:rPr>
          <w:noProof/>
          <w:sz w:val="24"/>
          <w:szCs w:val="24"/>
          <w:lang w:val="en-US"/>
        </w:rPr>
        <w:tab/>
        <w:t>Sprigg N, Flaherty K, Appleton JP, et al. Tranexamic acid for hyperacute primary IntraCerebral Haemorrhage (TICH-2): an international randomised, placebo-controlled, phase 3 superiority trial. Lancet. 2018;391(10135):2107-2115.</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11. </w:t>
      </w:r>
      <w:r w:rsidRPr="006A1593">
        <w:rPr>
          <w:noProof/>
          <w:sz w:val="24"/>
          <w:szCs w:val="24"/>
          <w:lang w:val="en-US"/>
        </w:rPr>
        <w:tab/>
        <w:t>Mayer S a, Brun NC, Begtrup K, et al. Efficacy and safety of recombinant activated factor VII for acute intracerebral hemorrhage. N. Engl. J. Med. 2008;358(20):2127–2137.</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12. </w:t>
      </w:r>
      <w:r w:rsidRPr="006A1593">
        <w:rPr>
          <w:noProof/>
          <w:sz w:val="24"/>
          <w:szCs w:val="24"/>
          <w:lang w:val="en-US"/>
        </w:rPr>
        <w:tab/>
        <w:t>Al-Shahi Salman R, Frantzias J, Lee RJ, et al. Absolute risk and predictors of the growth of acute spontaneous intracerebral haemorrhage: a systematic review and meta-analysis of individual patient data. Lancet Neurol. 2018;17(10):885–894.</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 13. </w:t>
      </w:r>
      <w:r w:rsidRPr="006A1593">
        <w:rPr>
          <w:noProof/>
          <w:sz w:val="24"/>
          <w:szCs w:val="24"/>
          <w:lang w:val="en-US"/>
        </w:rPr>
        <w:tab/>
        <w:t>Morotti A, Brouwers HB, Romero JM, et al. Intensive Blood Pressure Reduction and Spot Sign in Intracerebral Hemorrhage: A Secondary Analysis of a Randomized Clinical Trial. JAMA Neurol. 2017;74(8):950–960.</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14. </w:t>
      </w:r>
      <w:r w:rsidRPr="006A1593">
        <w:rPr>
          <w:noProof/>
          <w:sz w:val="24"/>
          <w:szCs w:val="24"/>
          <w:lang w:val="en-US"/>
        </w:rPr>
        <w:tab/>
        <w:t>Boulouis G, Morotti A, Charidimou A, et al. Noncontrast Computed Tomography Markers of Intracerebral Hemorrhage Expansion. Stroke 2017;48(4):1120–1125.</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15. </w:t>
      </w:r>
      <w:r w:rsidRPr="006A1593">
        <w:rPr>
          <w:noProof/>
          <w:sz w:val="24"/>
          <w:szCs w:val="24"/>
          <w:lang w:val="en-US"/>
        </w:rPr>
        <w:tab/>
        <w:t>Morotti A, Dowlatshahi D, Boulouis G, et al. Predicting Intracerebral Hemorrhage Expansion With Noncontrast Computed Tomography: The BAT score. Stroke. 2018;49(5):1163-1169.</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16. </w:t>
      </w:r>
      <w:r w:rsidRPr="006A1593">
        <w:rPr>
          <w:noProof/>
          <w:sz w:val="24"/>
          <w:szCs w:val="24"/>
          <w:lang w:val="en-US"/>
        </w:rPr>
        <w:tab/>
        <w:t>Yao X, Xu Y, Siwila-Sackman E, et al. The HEP Score: A Nomogram-Derived Hematoma Expansion Prediction Scale. Neurocrit Care. 2015;23(2):179-87.</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17. </w:t>
      </w:r>
      <w:r w:rsidRPr="006A1593">
        <w:rPr>
          <w:noProof/>
          <w:sz w:val="24"/>
          <w:szCs w:val="24"/>
          <w:lang w:val="en-US"/>
        </w:rPr>
        <w:tab/>
        <w:t xml:space="preserve">Jones J, Hunter D. Consensus methods for medical and health services research. BMJ </w:t>
      </w:r>
      <w:r w:rsidRPr="006A1593">
        <w:rPr>
          <w:noProof/>
          <w:sz w:val="24"/>
          <w:szCs w:val="24"/>
          <w:lang w:val="en-US"/>
        </w:rPr>
        <w:lastRenderedPageBreak/>
        <w:t xml:space="preserve">1995;311(7001):376–80. </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18. </w:t>
      </w:r>
      <w:r w:rsidRPr="006A1593">
        <w:rPr>
          <w:noProof/>
          <w:sz w:val="24"/>
          <w:szCs w:val="24"/>
          <w:lang w:val="en-US"/>
        </w:rPr>
        <w:tab/>
        <w:t xml:space="preserve">Black N, Murphy M, Lamping D, et al. Consensus Development Methods: A Review of Best Practice in Creating Clinical Guidelines. J. Health Serv. Res. Policy 1999;4(4):236–248. </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19. </w:t>
      </w:r>
      <w:r w:rsidRPr="006A1593">
        <w:rPr>
          <w:noProof/>
          <w:sz w:val="24"/>
          <w:szCs w:val="24"/>
          <w:lang w:val="en-US"/>
        </w:rPr>
        <w:tab/>
        <w:t>Smith  a. B, Dillon WP, Gould R, Wintermark M. Radiation dose-reduction strategies for neuroradiology CT protocols. Am. J. Neuroradiol. 2007;28(9):1628–1632.</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20. </w:t>
      </w:r>
      <w:r w:rsidRPr="006A1593">
        <w:rPr>
          <w:noProof/>
          <w:sz w:val="24"/>
          <w:szCs w:val="24"/>
          <w:lang w:val="en-US"/>
        </w:rPr>
        <w:tab/>
        <w:t>American College of Radiology. Acr–Asnr–Spr Practice Parameter for the Performance and Interpretation of Cervicocerebral Computed Tomography Angiography (Cta). 2015; 1076: 1–14.</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21. </w:t>
      </w:r>
      <w:r w:rsidRPr="006A1593">
        <w:rPr>
          <w:noProof/>
          <w:sz w:val="24"/>
          <w:szCs w:val="24"/>
          <w:lang w:val="en-US"/>
        </w:rPr>
        <w:tab/>
        <w:t>Anderson CS, Huang Y, Wang JG, et al. Intensive blood pressure reduction in acute cerebral haemorrhage trial (INTERACT): a randomised pilot trial. Lancet Neurol. 2008;7(5):391–399.</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22. </w:t>
      </w:r>
      <w:r w:rsidRPr="006A1593">
        <w:rPr>
          <w:noProof/>
          <w:sz w:val="24"/>
          <w:szCs w:val="24"/>
          <w:lang w:val="en-US"/>
        </w:rPr>
        <w:tab/>
        <w:t>Barras CD, Tress BM, Christensen S, et al. Density and shape as CT predictors of intracerebral hemorrhage growth. Stroke 2009;40(4):1325–1331.</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23. </w:t>
      </w:r>
      <w:r w:rsidRPr="006A1593">
        <w:rPr>
          <w:noProof/>
          <w:sz w:val="24"/>
          <w:szCs w:val="24"/>
          <w:lang w:val="en-US"/>
        </w:rPr>
        <w:tab/>
        <w:t>Selariu E, Zia E, Brizzi M, Abul-Kasim K. Swirl sign in intracerebral haemorrhage: definition, prevalence, reliability and prognostic value. BMC Neurol. 2012;12(1):109.</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24. </w:t>
      </w:r>
      <w:r w:rsidRPr="006A1593">
        <w:rPr>
          <w:noProof/>
          <w:sz w:val="24"/>
          <w:szCs w:val="24"/>
          <w:lang w:val="en-US"/>
        </w:rPr>
        <w:tab/>
        <w:t>Ng D, Churilov L, Mitchell P, et al. The CT Swirl Sign Is Associated with Hematoma Expansion in Intracerebral Hemorrhage. Am. J. Neuroradiol. 2018;39(2):232–237.</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25. </w:t>
      </w:r>
      <w:r w:rsidRPr="006A1593">
        <w:rPr>
          <w:noProof/>
          <w:sz w:val="24"/>
          <w:szCs w:val="24"/>
          <w:lang w:val="en-US"/>
        </w:rPr>
        <w:tab/>
        <w:t>Boulouis G, Morotti A, Brouwers HB, et al. Association Between Hypodensities Detected by Computed Tomography and Hematoma Expansion in Patients With Intracerebral Hemorrhage. JAMA Neurol. 2016;73(8):961-8.</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26. </w:t>
      </w:r>
      <w:r w:rsidRPr="006A1593">
        <w:rPr>
          <w:noProof/>
          <w:sz w:val="24"/>
          <w:szCs w:val="24"/>
          <w:lang w:val="en-US"/>
        </w:rPr>
        <w:tab/>
        <w:t>Boulouis G, Morotti A, Brouwers HB, et al. Noncontrast Computed Tomography Hypodensities Predict Poor Outcome in Intracerebral Hemorrhage Patients. Stroke. 2016;47(10):2511-6.</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27. </w:t>
      </w:r>
      <w:r w:rsidRPr="006A1593">
        <w:rPr>
          <w:noProof/>
          <w:sz w:val="24"/>
          <w:szCs w:val="24"/>
          <w:lang w:val="en-US"/>
        </w:rPr>
        <w:tab/>
        <w:t>Li R, Yang M. A comparative study of the blend sign and the black hole sign on CT as a predictor of hematoma expansion in spontaneous intracerebral hemorrhage. Biosci. Trends 2017;11(6):682–687.</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28. </w:t>
      </w:r>
      <w:r w:rsidRPr="006A1593">
        <w:rPr>
          <w:noProof/>
          <w:sz w:val="24"/>
          <w:szCs w:val="24"/>
          <w:lang w:val="en-US"/>
        </w:rPr>
        <w:tab/>
        <w:t>Li Q, Zhang G, Xiong X, et al. Black hole sign: Novel imaging marker that predicts hematoma growth in patients with intracerebral hemorrhage. Stroke 2016;47(7):1777–1781.</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29. </w:t>
      </w:r>
      <w:r w:rsidRPr="006A1593">
        <w:rPr>
          <w:noProof/>
          <w:sz w:val="24"/>
          <w:szCs w:val="24"/>
          <w:lang w:val="en-US"/>
        </w:rPr>
        <w:tab/>
        <w:t>Li Q, Zhang G, Huang Y-J, et al. Blend Sign on Computed Tomography: Novel and Reliable Predictor for Early Hematoma Growth in Patients with Intracerebral Hemorrhage. Stroke. 2015;46(8):2119-23.</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 30. </w:t>
      </w:r>
      <w:r w:rsidRPr="006A1593">
        <w:rPr>
          <w:noProof/>
          <w:sz w:val="24"/>
          <w:szCs w:val="24"/>
          <w:lang w:val="en-US"/>
        </w:rPr>
        <w:tab/>
        <w:t>Zheng J, Yu Z, Xu Z, et al. The Accuracy of the Spot Sign and the Blend Sign for Predicting Hematoma Expansion in Patients with Spontaneous Intracerebral Hemorrhage. Med. Sci. Monit. 2017;23:2250–2257.</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31. </w:t>
      </w:r>
      <w:r w:rsidRPr="006A1593">
        <w:rPr>
          <w:noProof/>
          <w:sz w:val="24"/>
          <w:szCs w:val="24"/>
          <w:lang w:val="en-US"/>
        </w:rPr>
        <w:tab/>
        <w:t>Li Q, Yang W-S, Wang X-C, et al. Blend sign predicts poor outcome in patients with intracerebral hemorrhage. PLoS One 2017;12(8):e0183082.</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 32. </w:t>
      </w:r>
      <w:r w:rsidRPr="006A1593">
        <w:rPr>
          <w:noProof/>
          <w:sz w:val="24"/>
          <w:szCs w:val="24"/>
          <w:lang w:val="en-US"/>
        </w:rPr>
        <w:tab/>
        <w:t>Wu G, Shen Z, Wang L, et al. Post-operative re-bleeding in patients with hypertensive ICH is closely associated with the CT blend sign. BMC Neurol. 2017;17(1):131.</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 33. </w:t>
      </w:r>
      <w:r w:rsidRPr="006A1593">
        <w:rPr>
          <w:noProof/>
          <w:sz w:val="24"/>
          <w:szCs w:val="24"/>
          <w:lang w:val="en-US"/>
        </w:rPr>
        <w:tab/>
        <w:t>Pfleger MJ, Hardee EP, Contant CF, Hayman LA. Sensitivity and specificity of fluid-blood levels for coagulopathy in acute intracerebral hematomas. AJNR. Am. J. Neuroradiol. 1994;15(2):217–23.</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34. </w:t>
      </w:r>
      <w:r w:rsidRPr="006A1593">
        <w:rPr>
          <w:noProof/>
          <w:sz w:val="24"/>
          <w:szCs w:val="24"/>
          <w:lang w:val="en-US"/>
        </w:rPr>
        <w:tab/>
        <w:t>Sato S, Delcourt C, Zhang S, et al. Determinants and Prognostic Significance of Hematoma Sedimentation Levels in Acute Intracerebral Hemorrhage. Cerebrovasc. Dis. 2016;41(1–2):80–6.</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lastRenderedPageBreak/>
        <w:t xml:space="preserve">35. </w:t>
      </w:r>
      <w:r w:rsidRPr="006A1593">
        <w:rPr>
          <w:noProof/>
          <w:sz w:val="24"/>
          <w:szCs w:val="24"/>
          <w:lang w:val="en-US"/>
        </w:rPr>
        <w:tab/>
        <w:t>Blacquiere D, Demchuk AM, Al-Hazzaa M, et al. Intracerebral Hematoma Morphologic Appearance on Noncontrast Computed Tomography Predicts Significant Hematoma Expansion. Stroke 2015;46(11):3111–3116.</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36. </w:t>
      </w:r>
      <w:r w:rsidRPr="006A1593">
        <w:rPr>
          <w:noProof/>
          <w:sz w:val="24"/>
          <w:szCs w:val="24"/>
          <w:lang w:val="en-US"/>
        </w:rPr>
        <w:tab/>
        <w:t>Li Q, Liu QJ, Yang WS, et al. Island sign: An imaging predictor for early hematoma expansion and poor outcome in patients with intracerebral hemorrhage. Stroke 2017;48(11):3019–3025.</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rPr>
      </w:pPr>
      <w:r w:rsidRPr="006A1593">
        <w:rPr>
          <w:noProof/>
          <w:sz w:val="24"/>
          <w:szCs w:val="24"/>
          <w:lang w:val="en-US"/>
        </w:rPr>
        <w:t xml:space="preserve">37. </w:t>
      </w:r>
      <w:r w:rsidRPr="006A1593">
        <w:rPr>
          <w:noProof/>
          <w:sz w:val="24"/>
          <w:szCs w:val="24"/>
          <w:lang w:val="en-US"/>
        </w:rPr>
        <w:tab/>
        <w:t xml:space="preserve">Zhang F, Li H, Qian J, et al. Hyperglycemia Is Associated with Island Sign in Patients with Intracerebral Hemorrhage. </w:t>
      </w:r>
      <w:r w:rsidRPr="006A1593">
        <w:rPr>
          <w:noProof/>
          <w:sz w:val="24"/>
          <w:szCs w:val="24"/>
        </w:rPr>
        <w:t>World Neurosurg. 2018;119:e703-e709.</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rPr>
      </w:pPr>
      <w:r w:rsidRPr="006A1593">
        <w:rPr>
          <w:noProof/>
          <w:sz w:val="24"/>
          <w:szCs w:val="24"/>
        </w:rPr>
        <w:t xml:space="preserve"> 38. </w:t>
      </w:r>
      <w:r w:rsidRPr="006A1593">
        <w:rPr>
          <w:noProof/>
          <w:sz w:val="24"/>
          <w:szCs w:val="24"/>
        </w:rPr>
        <w:tab/>
        <w:t xml:space="preserve">Zhang F, Li H, Qian J, et al. </w:t>
      </w:r>
      <w:r w:rsidRPr="006A1593">
        <w:rPr>
          <w:noProof/>
          <w:sz w:val="24"/>
          <w:szCs w:val="24"/>
          <w:lang w:val="en-US"/>
        </w:rPr>
        <w:t xml:space="preserve">Island Sign Predicts Long-Term Poor Outcome and Mortality in Patients with Intracerebral Hemorrhage. </w:t>
      </w:r>
      <w:r w:rsidRPr="006A1593">
        <w:rPr>
          <w:noProof/>
          <w:sz w:val="24"/>
          <w:szCs w:val="24"/>
        </w:rPr>
        <w:t>World Neurosurg. 2018 Dec;120:e304-e312.</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rPr>
        <w:t xml:space="preserve">39. </w:t>
      </w:r>
      <w:r w:rsidRPr="006A1593">
        <w:rPr>
          <w:noProof/>
          <w:sz w:val="24"/>
          <w:szCs w:val="24"/>
        </w:rPr>
        <w:tab/>
        <w:t xml:space="preserve">Yu Z, Zheng J, Ali H, et al. </w:t>
      </w:r>
      <w:r w:rsidRPr="006A1593">
        <w:rPr>
          <w:noProof/>
          <w:sz w:val="24"/>
          <w:szCs w:val="24"/>
          <w:lang w:val="en-US"/>
        </w:rPr>
        <w:t>Significance of satellite sign and spot sign in predicting hematoma expansion in spontaneous intracerebral hemorrhage. Clin. Neurol. Neurosurg. 2017;162:67–71.</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40. </w:t>
      </w:r>
      <w:r w:rsidRPr="006A1593">
        <w:rPr>
          <w:noProof/>
          <w:sz w:val="24"/>
          <w:szCs w:val="24"/>
          <w:lang w:val="en-US"/>
        </w:rPr>
        <w:tab/>
        <w:t>Seo J-S, Nam T-K, Kwon J-T, Park Y-S. Multiple spontaneous simultaneous intracerebral hemorrhages. J. Cerebrovasc. Endovasc. Neurosurg. 2014;16(2):104–11.</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 41. </w:t>
      </w:r>
      <w:r w:rsidRPr="006A1593">
        <w:rPr>
          <w:noProof/>
          <w:sz w:val="24"/>
          <w:szCs w:val="24"/>
          <w:lang w:val="en-US"/>
        </w:rPr>
        <w:tab/>
        <w:t>New PF, Aronow S. Attenuation measurements of whole blood and blood fractions in computed tomography. Radiology 1976;121(3 Pt. 1):635–40.</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42. </w:t>
      </w:r>
      <w:r w:rsidRPr="006A1593">
        <w:rPr>
          <w:noProof/>
          <w:sz w:val="24"/>
          <w:szCs w:val="24"/>
          <w:lang w:val="en-US"/>
        </w:rPr>
        <w:tab/>
        <w:t>Majidi S, Rahim B, Gilani SI, et al. CT Evolution of Hematoma and Surrounding Hypodensity in a Cadaveric Model of Intracerebral Hemorrhage. J. Neuroimaging 2016;26(3):346–350.</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43. </w:t>
      </w:r>
      <w:r w:rsidRPr="006A1593">
        <w:rPr>
          <w:noProof/>
          <w:sz w:val="24"/>
          <w:szCs w:val="24"/>
          <w:lang w:val="en-US"/>
        </w:rPr>
        <w:tab/>
        <w:t>Schlunk F, Greenberg SM. The Pathophysiology of Intracerebral Hemorrhage Formation and Expansion. Transl. Stroke Res. 2015;6(4):257–263.</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44. </w:t>
      </w:r>
      <w:r w:rsidRPr="006A1593">
        <w:rPr>
          <w:noProof/>
          <w:sz w:val="24"/>
          <w:szCs w:val="24"/>
          <w:lang w:val="en-US"/>
        </w:rPr>
        <w:tab/>
        <w:t>Boulouis G, Dumas A, Betensky RA, et al. Anatomic Pattern of Intracerebral Hemorrhage Expansion: Relation to CT Angiography Spot Sign and Hematoma Center. Stroke 2014;45(4):1154–1156.</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45. </w:t>
      </w:r>
      <w:r w:rsidRPr="006A1593">
        <w:rPr>
          <w:noProof/>
          <w:sz w:val="24"/>
          <w:szCs w:val="24"/>
          <w:lang w:val="en-US"/>
        </w:rPr>
        <w:tab/>
        <w:t>Dowlatshahi D, Hogan MJ, Sharma M, et al. Ongoing bleeding in acute intracerebral haemorrhage. Lancet 2013;381(9861):152.</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46. </w:t>
      </w:r>
      <w:r w:rsidRPr="006A1593">
        <w:rPr>
          <w:noProof/>
          <w:sz w:val="24"/>
          <w:szCs w:val="24"/>
          <w:lang w:val="en-US"/>
        </w:rPr>
        <w:tab/>
        <w:t>Yu Z, Zheng J, Ma L, et al. Predictive Validity of Hypodensities on Noncontrast Computed Tomography for Hematoma Growth in Intracerebral Hemorrhage: a Meta-Analysis. World Neurosurg. 2019;123:e639–e645.</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47. </w:t>
      </w:r>
      <w:r w:rsidRPr="006A1593">
        <w:rPr>
          <w:noProof/>
          <w:sz w:val="24"/>
          <w:szCs w:val="24"/>
          <w:lang w:val="en-US"/>
        </w:rPr>
        <w:tab/>
        <w:t>Zhang D, Chen J, Xue Q, et al. Heterogeneity Signs on Noncontrast Computed Tomography Predict Hematoma Expansion after Intracerebral Hemorrhage: A Meta-Analysis. Biomed Res. Int. 2018;2018:1–9.</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48. </w:t>
      </w:r>
      <w:r w:rsidRPr="006A1593">
        <w:rPr>
          <w:noProof/>
          <w:sz w:val="24"/>
          <w:szCs w:val="24"/>
          <w:lang w:val="en-US"/>
        </w:rPr>
        <w:tab/>
        <w:t>Yu Z, Zheng J, Xu Z, et al. Accuracy of Shape Irregularity and Density Heterogeneity on Noncontrast Computed Tomography for Predicting Hematoma Expansion in Spontaneous Intracerebral Hemorrhage: A Systematic Review and Meta-Analysis. World Neurosurg. 2017;108:347–355.</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49. </w:t>
      </w:r>
      <w:r w:rsidRPr="006A1593">
        <w:rPr>
          <w:noProof/>
          <w:sz w:val="24"/>
          <w:szCs w:val="24"/>
          <w:lang w:val="en-US"/>
        </w:rPr>
        <w:tab/>
        <w:t>Morotti A, Boulouis G, Romero JM, et al. Blood pressure reduction and noncontrast CT markers of intracerebral hemorrhage expansion. Neurology 2017;89(6):548–554.</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 50. </w:t>
      </w:r>
      <w:r w:rsidRPr="006A1593">
        <w:rPr>
          <w:noProof/>
          <w:sz w:val="24"/>
          <w:szCs w:val="24"/>
          <w:lang w:val="en-US"/>
        </w:rPr>
        <w:tab/>
        <w:t>Yu Z, Zheng J, Ma L, et al. The predictive accuracy of the black hole sign and the spot sign for hematoma expansion in patients with spontaneous intracerebral hemorrhage. Neurol. Sci. 2017;38(9):1591–1597.</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51. </w:t>
      </w:r>
      <w:r w:rsidRPr="006A1593">
        <w:rPr>
          <w:noProof/>
          <w:sz w:val="24"/>
          <w:szCs w:val="24"/>
          <w:lang w:val="en-US"/>
        </w:rPr>
        <w:tab/>
        <w:t xml:space="preserve">Delcourt C, Zhang S, Arima H, et al. Significance of Hematoma Shape and Density in </w:t>
      </w:r>
      <w:r w:rsidRPr="006A1593">
        <w:rPr>
          <w:noProof/>
          <w:sz w:val="24"/>
          <w:szCs w:val="24"/>
          <w:lang w:val="en-US"/>
        </w:rPr>
        <w:lastRenderedPageBreak/>
        <w:t>Intracerebral Hemorrhage The Intensive Blood Pressure Reduction in Acute Intracerebral Hemorrhage Trial Study. Stroke 2016;47(5):1227–1232.</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52. </w:t>
      </w:r>
      <w:r w:rsidRPr="006A1593">
        <w:rPr>
          <w:noProof/>
          <w:sz w:val="24"/>
          <w:szCs w:val="24"/>
          <w:lang w:val="en-US"/>
        </w:rPr>
        <w:tab/>
        <w:t>Hemphill JC, Bonovich DC, Besmertis L, et al. The ICH score: a simple, reliable grading scale for intracerebral hemorrhage. Stroke. 2001;32(4):891–7.</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53. </w:t>
      </w:r>
      <w:r w:rsidRPr="006A1593">
        <w:rPr>
          <w:noProof/>
          <w:sz w:val="24"/>
          <w:szCs w:val="24"/>
          <w:lang w:val="en-US"/>
        </w:rPr>
        <w:tab/>
        <w:t>Rost NS, Smith EE, Chang Y, et al. Prediction of functional outcome in patients with primary intracerebral hemorrhage: The FUNC score. Stroke 2008;39(8):2304–2309.</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54. </w:t>
      </w:r>
      <w:r w:rsidRPr="006A1593">
        <w:rPr>
          <w:noProof/>
          <w:sz w:val="24"/>
          <w:szCs w:val="24"/>
          <w:lang w:val="en-US"/>
        </w:rPr>
        <w:tab/>
        <w:t>Morotti A, Boulouis G, Charidimou A, et al. Integration of Computed Tomographic Angiography Spot Sign and Noncontrast Computed Tomographic Hypodensities to Predict Hematoma Expansion. Stroke 2018;49(9):2067–2073.</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rPr>
      </w:pPr>
      <w:r w:rsidRPr="006A1593">
        <w:rPr>
          <w:noProof/>
          <w:sz w:val="24"/>
          <w:szCs w:val="24"/>
          <w:lang w:val="en-US"/>
        </w:rPr>
        <w:t xml:space="preserve"> 55. </w:t>
      </w:r>
      <w:r w:rsidRPr="006A1593">
        <w:rPr>
          <w:noProof/>
          <w:sz w:val="24"/>
          <w:szCs w:val="24"/>
          <w:lang w:val="en-US"/>
        </w:rPr>
        <w:tab/>
        <w:t xml:space="preserve">Sporns PB, Schwake M, Schmidt R, et al. Computed Tomographic Blend Sign Is Associated With Computed Tomographic Angiography Spot Sign and Predicts Secondary Neurological Deterioration After Intracerebral Hemorrhage. </w:t>
      </w:r>
      <w:r w:rsidRPr="006A1593">
        <w:rPr>
          <w:noProof/>
          <w:sz w:val="24"/>
          <w:szCs w:val="24"/>
        </w:rPr>
        <w:t>Stroke 2017;48(1):131–135.</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rPr>
        <w:t xml:space="preserve">56. </w:t>
      </w:r>
      <w:r w:rsidRPr="006A1593">
        <w:rPr>
          <w:noProof/>
          <w:sz w:val="24"/>
          <w:szCs w:val="24"/>
        </w:rPr>
        <w:tab/>
        <w:t xml:space="preserve">Rodriguez-Luna D, Coscojuela P, Rodriguez-Villatoro N, et al. </w:t>
      </w:r>
      <w:r w:rsidRPr="006A1593">
        <w:rPr>
          <w:noProof/>
          <w:sz w:val="24"/>
          <w:szCs w:val="24"/>
          <w:lang w:val="en-US"/>
        </w:rPr>
        <w:t>Multiphase CT Angiography Improves Prediction of Intracerebral Hemorrhage Expansion. Radiology 2017;285(3):932–940.</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57. </w:t>
      </w:r>
      <w:r w:rsidRPr="006A1593">
        <w:rPr>
          <w:noProof/>
          <w:sz w:val="24"/>
          <w:szCs w:val="24"/>
          <w:lang w:val="en-US"/>
        </w:rPr>
        <w:tab/>
        <w:t>Wang B, Yan S, Xu M, et al. Timing of Occurrence Is the Most Important Characteristic of Spot Sign. Stroke 2016;47(5):1233–1238.</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58. </w:t>
      </w:r>
      <w:r w:rsidRPr="006A1593">
        <w:rPr>
          <w:noProof/>
          <w:sz w:val="24"/>
          <w:szCs w:val="24"/>
          <w:lang w:val="en-US"/>
        </w:rPr>
        <w:tab/>
        <w:t>Sun S-J, Gao P-Y, Sui B-B, et al. "Dynamic spot sign" on CT perfusion source images predicts haematoma expansion in acute intracerebral haemorrhage. Eur Radiol. 2013;23(7):1846-54.</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rPr>
      </w:pPr>
      <w:r w:rsidRPr="006A1593">
        <w:rPr>
          <w:noProof/>
          <w:sz w:val="24"/>
          <w:szCs w:val="24"/>
          <w:lang w:val="en-US"/>
        </w:rPr>
        <w:t xml:space="preserve">59. </w:t>
      </w:r>
      <w:r w:rsidRPr="006A1593">
        <w:rPr>
          <w:noProof/>
          <w:sz w:val="24"/>
          <w:szCs w:val="24"/>
          <w:lang w:val="en-US"/>
        </w:rPr>
        <w:tab/>
        <w:t xml:space="preserve">Sporns PB, Schwake M, Kemmling A, et al. Comparison of Spot Sign, Blend Sign and Black Hole Sign for Outcome Prediction in Patients with Intracerebral Hemorrhage. </w:t>
      </w:r>
      <w:r w:rsidRPr="006A1593">
        <w:rPr>
          <w:noProof/>
          <w:sz w:val="24"/>
          <w:szCs w:val="24"/>
        </w:rPr>
        <w:t>J. Stroke 2017;19(3):333–339.</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rPr>
        <w:t xml:space="preserve">60. </w:t>
      </w:r>
      <w:r w:rsidRPr="006A1593">
        <w:rPr>
          <w:noProof/>
          <w:sz w:val="24"/>
          <w:szCs w:val="24"/>
        </w:rPr>
        <w:tab/>
        <w:t xml:space="preserve">Yu Z, Ma L, Zheng J, et al. </w:t>
      </w:r>
      <w:r w:rsidRPr="006A1593">
        <w:rPr>
          <w:noProof/>
          <w:sz w:val="24"/>
          <w:szCs w:val="24"/>
          <w:lang w:val="en-US"/>
        </w:rPr>
        <w:t>Comparison of hematoma density heterogeneity and ultraearly hematoma growth in predicting hematoma expansion in patients with spontaneous intracerebral hemorrhage. J. Neurol. Sci. 2017;379:44–48.</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61. </w:t>
      </w:r>
      <w:r w:rsidRPr="006A1593">
        <w:rPr>
          <w:noProof/>
          <w:sz w:val="24"/>
          <w:szCs w:val="24"/>
          <w:lang w:val="en-US"/>
        </w:rPr>
        <w:tab/>
        <w:t>Yu Z, Zheng J, Xia F, et al. BAT Score Versus Spot Sign in Predicting Intracerebral Hemorrhage Expansion. World Neurosurg. 2019 Mar 4. pii: S1878-8750(19)30548-0. doi: 10.1016/j.wneu.2019.02.125. [Epub ahead of print].</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rPr>
        <w:t xml:space="preserve">62. </w:t>
      </w:r>
      <w:r w:rsidRPr="006A1593">
        <w:rPr>
          <w:noProof/>
          <w:sz w:val="24"/>
          <w:szCs w:val="24"/>
        </w:rPr>
        <w:tab/>
        <w:t xml:space="preserve">Yogendrakumar V, Ramsay T, Fergusson DA, et al. </w:t>
      </w:r>
      <w:r w:rsidRPr="006A1593">
        <w:rPr>
          <w:noProof/>
          <w:sz w:val="24"/>
          <w:szCs w:val="24"/>
          <w:lang w:val="en-US"/>
        </w:rPr>
        <w:t>Independent Validation of the Hematoma Expansion Prediction Score: A Non-contrast Score Equivalent in Accuracy to the Spot Sign. Neurocrit Care. 2019 May 23. doi: 10.1007/s12028-019-00740-5. [Epub ahead of print].</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63. </w:t>
      </w:r>
      <w:r w:rsidRPr="006A1593">
        <w:rPr>
          <w:noProof/>
          <w:sz w:val="24"/>
          <w:szCs w:val="24"/>
          <w:lang w:val="en-US"/>
        </w:rPr>
        <w:tab/>
        <w:t>Morotti A, Romero JM, Jessel MJ, et al. Effect of CTA Tube Current on Spot Sign Detection and Accuracy for Prediction of Intracerebral Hemorrhage Expansion. AJNR Am J Neuroradiol. 2016;37(10):1781-1786.</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64. </w:t>
      </w:r>
      <w:r w:rsidRPr="006A1593">
        <w:rPr>
          <w:noProof/>
          <w:sz w:val="24"/>
          <w:szCs w:val="24"/>
          <w:lang w:val="en-US"/>
        </w:rPr>
        <w:tab/>
        <w:t>Boulouis G, Charidimou A, Morotti A. Consensus needed for noncontrast CT markers in intracerebral hemorrhage. Am. J. Neuroradiol. 2018;39(6).</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65. </w:t>
      </w:r>
      <w:r w:rsidRPr="006A1593">
        <w:rPr>
          <w:noProof/>
          <w:sz w:val="24"/>
          <w:szCs w:val="24"/>
          <w:lang w:val="en-US"/>
        </w:rPr>
        <w:tab/>
        <w:t>Dowlatshahi D, Morotti A, Al-Ajlan FS, et al. Interrater and Intrarater Measurement Reliability of Noncontrast Computed Tomography Predictors of Intracerebral Hemorrhage Expansion. Stroke 2019;50(5):1260–1262.</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66. </w:t>
      </w:r>
      <w:r w:rsidRPr="006A1593">
        <w:rPr>
          <w:noProof/>
          <w:sz w:val="24"/>
          <w:szCs w:val="24"/>
          <w:lang w:val="en-US"/>
        </w:rPr>
        <w:tab/>
        <w:t xml:space="preserve">Hilkens NA, van Asch CJJ, Werring DJ, et al. Predicting the presence of macrovascular causes in non-traumatic intracerebral haemorrhage: the DIAGRAM prediction score. J </w:t>
      </w:r>
      <w:r w:rsidRPr="006A1593">
        <w:rPr>
          <w:noProof/>
          <w:sz w:val="24"/>
          <w:szCs w:val="24"/>
          <w:lang w:val="en-US"/>
        </w:rPr>
        <w:lastRenderedPageBreak/>
        <w:t>Neurol Neurosurg Psychiatry. 2018;89(7):674-679.</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67. </w:t>
      </w:r>
      <w:r w:rsidRPr="006A1593">
        <w:rPr>
          <w:noProof/>
          <w:sz w:val="24"/>
          <w:szCs w:val="24"/>
          <w:lang w:val="en-US"/>
        </w:rPr>
        <w:tab/>
        <w:t>Hemorrhagic Stroke Academia Industry (HEADS) Roundtable Participants. Unmet Needs and Challenges in Clinical Research of Intracerebral Hemorrhage. Stroke. 2018;49(5):1299-1307.</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8. </w:t>
      </w:r>
      <w:r w:rsidRPr="006A1593">
        <w:rPr>
          <w:noProof/>
          <w:sz w:val="24"/>
          <w:szCs w:val="24"/>
          <w:lang w:val="en-US"/>
        </w:rPr>
        <w:tab/>
        <w:t>Fassbender K, Grotta JC, Walter S, et al. Mobile stroke units for prehospital thrombolysis, triage, and beyond: benefits and challenges. Lancet Neurol. 2017;16(3):227–237.</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69. </w:t>
      </w:r>
      <w:r w:rsidRPr="006A1593">
        <w:rPr>
          <w:noProof/>
          <w:sz w:val="24"/>
          <w:szCs w:val="24"/>
          <w:lang w:val="en-US"/>
        </w:rPr>
        <w:tab/>
        <w:t>Huttner HB, Steiner T, Hartmann M, et al. Comparison of ABC/2 estimation technique to computer-assisted planimetric analysis in warfarin-related intracerebral parenchymal hemorrhage. Stroke 2006;37(2):404–8.</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70. </w:t>
      </w:r>
      <w:r w:rsidRPr="006A1593">
        <w:rPr>
          <w:noProof/>
          <w:sz w:val="24"/>
          <w:szCs w:val="24"/>
          <w:lang w:val="en-US"/>
        </w:rPr>
        <w:tab/>
        <w:t>Murthy SB, Moradiya Y, Dawson J, et al. Perihematomal Edema and Functional Outcomes in Intracerebral Hemorrhage: Influence of Hematoma Volume and Location. Stroke 2015;46(11):3088–3092.</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71. </w:t>
      </w:r>
      <w:r w:rsidRPr="006A1593">
        <w:rPr>
          <w:noProof/>
          <w:sz w:val="24"/>
          <w:szCs w:val="24"/>
          <w:lang w:val="en-US"/>
        </w:rPr>
        <w:tab/>
        <w:t>Dowlatshahi D, Kosior JC, Idris S, et al. Planimetric hematoma measurement in patients with intraventricular hemorrhage: is total volume a preferred target for reliable analysis? Stroke 2012;43(7):1961–3.</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72. </w:t>
      </w:r>
      <w:r w:rsidRPr="006A1593">
        <w:rPr>
          <w:noProof/>
          <w:sz w:val="24"/>
          <w:szCs w:val="24"/>
          <w:lang w:val="en-US"/>
        </w:rPr>
        <w:tab/>
        <w:t>Dowlatshahi D, Deshpande A, Aviv RI, et al. Do Intracerebral Hemorrhage Nonexpanders Actually Expand Into the Ventricular Space? Stroke 2018;49(1):201–203.</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73. </w:t>
      </w:r>
      <w:r w:rsidRPr="006A1593">
        <w:rPr>
          <w:noProof/>
          <w:sz w:val="24"/>
          <w:szCs w:val="24"/>
          <w:lang w:val="en-US"/>
        </w:rPr>
        <w:tab/>
        <w:t>Steiner T, Diringer MN, Schneider D, et al. Dynamics of intraventricular hemorrhage in patients with spontaneous intracerebral hemorrhage: risk factors, clinical impact, and effect of hemostatic therapy with recombinant activated factor VII. Neurosurgery 2006;59(4):767–73.</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 74. </w:t>
      </w:r>
      <w:r w:rsidRPr="006A1593">
        <w:rPr>
          <w:noProof/>
          <w:sz w:val="24"/>
          <w:szCs w:val="24"/>
          <w:lang w:val="en-US"/>
        </w:rPr>
        <w:tab/>
        <w:t>Steyerberg EW, Vickers AJ, Cook NR, et al. Assessing the performance of prediction models: a framework for traditional and novel measures. Epidemiology 2010;21(1):128–38.</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75. </w:t>
      </w:r>
      <w:r w:rsidRPr="006A1593">
        <w:rPr>
          <w:noProof/>
          <w:sz w:val="24"/>
          <w:szCs w:val="24"/>
          <w:lang w:val="en-US"/>
        </w:rPr>
        <w:tab/>
        <w:t>Altman DG, Bland JM. Diagnostic tests 2: Predictive values. BMJ 1994;309(6947):102.</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76. </w:t>
      </w:r>
      <w:r w:rsidRPr="006A1593">
        <w:rPr>
          <w:noProof/>
          <w:sz w:val="24"/>
          <w:szCs w:val="24"/>
          <w:lang w:val="en-US"/>
        </w:rPr>
        <w:tab/>
        <w:t>Altman DG, Bland JM. Diagnostic tests. 1: Sensitivity and specificity. BMJ 1994;308(6943):1552.</w:t>
      </w:r>
    </w:p>
    <w:p w:rsidR="00BA1458" w:rsidRPr="006A1593" w:rsidRDefault="00BA1458" w:rsidP="00BA1458">
      <w:pPr>
        <w:widowControl w:val="0"/>
        <w:autoSpaceDE w:val="0"/>
        <w:autoSpaceDN w:val="0"/>
        <w:adjustRightInd w:val="0"/>
        <w:spacing w:before="100" w:after="100" w:line="240" w:lineRule="auto"/>
        <w:ind w:left="640" w:hanging="640"/>
        <w:rPr>
          <w:noProof/>
          <w:sz w:val="24"/>
          <w:szCs w:val="24"/>
          <w:lang w:val="en-US"/>
        </w:rPr>
      </w:pPr>
      <w:r w:rsidRPr="006A1593">
        <w:rPr>
          <w:noProof/>
          <w:sz w:val="24"/>
          <w:szCs w:val="24"/>
          <w:lang w:val="en-US"/>
        </w:rPr>
        <w:t xml:space="preserve">77. </w:t>
      </w:r>
      <w:r w:rsidRPr="006A1593">
        <w:rPr>
          <w:noProof/>
          <w:sz w:val="24"/>
          <w:szCs w:val="24"/>
          <w:lang w:val="en-US"/>
        </w:rPr>
        <w:tab/>
        <w:t>Hosny A, Parmar C, Quackenbush J, et al. Artificial intelligence in radiology. Nat. Rev. Cancer 2018;18(8):500–510.</w:t>
      </w:r>
    </w:p>
    <w:p w:rsidR="00BA1458" w:rsidRPr="006A1593" w:rsidRDefault="00BA1458" w:rsidP="00BA1458">
      <w:pPr>
        <w:widowControl w:val="0"/>
        <w:autoSpaceDE w:val="0"/>
        <w:autoSpaceDN w:val="0"/>
        <w:adjustRightInd w:val="0"/>
        <w:spacing w:before="100" w:after="100" w:line="240" w:lineRule="auto"/>
        <w:ind w:left="640" w:hanging="640"/>
        <w:rPr>
          <w:noProof/>
          <w:sz w:val="24"/>
          <w:lang w:val="en-US"/>
        </w:rPr>
      </w:pPr>
      <w:r w:rsidRPr="006A1593">
        <w:rPr>
          <w:noProof/>
          <w:sz w:val="24"/>
          <w:szCs w:val="24"/>
          <w:lang w:val="en-US"/>
        </w:rPr>
        <w:t xml:space="preserve">78. </w:t>
      </w:r>
      <w:r w:rsidRPr="006A1593">
        <w:rPr>
          <w:noProof/>
          <w:sz w:val="24"/>
          <w:szCs w:val="24"/>
          <w:lang w:val="en-US"/>
        </w:rPr>
        <w:tab/>
        <w:t>Stead WW. Clinical Implications and Challenges of Artificial Intelligence and Deep Learning. JAMA 2018;320(11):1107.</w:t>
      </w:r>
    </w:p>
    <w:p w:rsidR="006C3295" w:rsidRPr="006A1593" w:rsidRDefault="009134B6" w:rsidP="00BA1458">
      <w:pPr>
        <w:widowControl w:val="0"/>
        <w:autoSpaceDE w:val="0"/>
        <w:autoSpaceDN w:val="0"/>
        <w:adjustRightInd w:val="0"/>
        <w:spacing w:before="100" w:after="100" w:line="240" w:lineRule="auto"/>
        <w:ind w:left="640" w:hanging="640"/>
        <w:rPr>
          <w:sz w:val="24"/>
          <w:szCs w:val="24"/>
          <w:lang w:val="en-US"/>
        </w:rPr>
      </w:pPr>
      <w:r w:rsidRPr="006A1593">
        <w:rPr>
          <w:sz w:val="24"/>
          <w:szCs w:val="24"/>
          <w:lang w:val="en-US"/>
        </w:rPr>
        <w:fldChar w:fldCharType="end"/>
      </w:r>
    </w:p>
    <w:p w:rsidR="006C3295" w:rsidRPr="006A1593" w:rsidRDefault="006C3295" w:rsidP="006C3295">
      <w:pPr>
        <w:widowControl w:val="0"/>
        <w:autoSpaceDE w:val="0"/>
        <w:autoSpaceDN w:val="0"/>
        <w:adjustRightInd w:val="0"/>
        <w:spacing w:before="100" w:after="100" w:line="240" w:lineRule="auto"/>
        <w:ind w:left="640" w:hanging="640"/>
        <w:rPr>
          <w:sz w:val="24"/>
          <w:szCs w:val="24"/>
          <w:lang w:val="en-US"/>
        </w:rPr>
      </w:pPr>
    </w:p>
    <w:p w:rsidR="000214BC" w:rsidRPr="006A1593" w:rsidRDefault="000214BC" w:rsidP="006C3295">
      <w:pPr>
        <w:widowControl w:val="0"/>
        <w:autoSpaceDE w:val="0"/>
        <w:autoSpaceDN w:val="0"/>
        <w:adjustRightInd w:val="0"/>
        <w:spacing w:before="100" w:after="100" w:line="240" w:lineRule="auto"/>
        <w:ind w:left="640" w:hanging="640"/>
        <w:rPr>
          <w:sz w:val="24"/>
          <w:szCs w:val="24"/>
          <w:lang w:val="en-US"/>
        </w:rPr>
      </w:pPr>
    </w:p>
    <w:p w:rsidR="000214BC" w:rsidRPr="006A1593" w:rsidRDefault="000214BC" w:rsidP="006C3295">
      <w:pPr>
        <w:widowControl w:val="0"/>
        <w:autoSpaceDE w:val="0"/>
        <w:autoSpaceDN w:val="0"/>
        <w:adjustRightInd w:val="0"/>
        <w:spacing w:before="100" w:after="100" w:line="240" w:lineRule="auto"/>
        <w:ind w:left="640" w:hanging="640"/>
        <w:rPr>
          <w:sz w:val="24"/>
          <w:szCs w:val="24"/>
          <w:lang w:val="en-US"/>
        </w:rPr>
      </w:pPr>
    </w:p>
    <w:p w:rsidR="000214BC" w:rsidRPr="006A1593" w:rsidRDefault="000214BC" w:rsidP="006C3295">
      <w:pPr>
        <w:widowControl w:val="0"/>
        <w:autoSpaceDE w:val="0"/>
        <w:autoSpaceDN w:val="0"/>
        <w:adjustRightInd w:val="0"/>
        <w:spacing w:before="100" w:after="100" w:line="240" w:lineRule="auto"/>
        <w:ind w:left="640" w:hanging="640"/>
        <w:rPr>
          <w:sz w:val="24"/>
          <w:szCs w:val="24"/>
          <w:lang w:val="en-US"/>
        </w:rPr>
      </w:pPr>
    </w:p>
    <w:p w:rsidR="000214BC" w:rsidRPr="006A1593" w:rsidRDefault="000214BC" w:rsidP="006C3295">
      <w:pPr>
        <w:widowControl w:val="0"/>
        <w:autoSpaceDE w:val="0"/>
        <w:autoSpaceDN w:val="0"/>
        <w:adjustRightInd w:val="0"/>
        <w:spacing w:before="100" w:after="100" w:line="240" w:lineRule="auto"/>
        <w:ind w:left="640" w:hanging="640"/>
        <w:rPr>
          <w:sz w:val="24"/>
          <w:szCs w:val="24"/>
          <w:lang w:val="en-US"/>
        </w:rPr>
      </w:pPr>
    </w:p>
    <w:p w:rsidR="00A048E7" w:rsidRPr="006A1593" w:rsidRDefault="00A048E7" w:rsidP="006C3295">
      <w:pPr>
        <w:widowControl w:val="0"/>
        <w:autoSpaceDE w:val="0"/>
        <w:autoSpaceDN w:val="0"/>
        <w:adjustRightInd w:val="0"/>
        <w:spacing w:before="100" w:after="100" w:line="240" w:lineRule="auto"/>
        <w:ind w:left="640" w:hanging="640"/>
        <w:rPr>
          <w:sz w:val="24"/>
          <w:szCs w:val="24"/>
          <w:lang w:val="en-US"/>
        </w:rPr>
      </w:pPr>
    </w:p>
    <w:p w:rsidR="00A048E7" w:rsidRPr="006A1593" w:rsidRDefault="00A048E7" w:rsidP="006C3295">
      <w:pPr>
        <w:widowControl w:val="0"/>
        <w:autoSpaceDE w:val="0"/>
        <w:autoSpaceDN w:val="0"/>
        <w:adjustRightInd w:val="0"/>
        <w:spacing w:before="100" w:after="100" w:line="240" w:lineRule="auto"/>
        <w:ind w:left="640" w:hanging="640"/>
        <w:rPr>
          <w:sz w:val="24"/>
          <w:szCs w:val="24"/>
          <w:lang w:val="en-US"/>
        </w:rPr>
      </w:pPr>
    </w:p>
    <w:p w:rsidR="00A048E7" w:rsidRPr="006A1593" w:rsidRDefault="00A048E7" w:rsidP="006C3295">
      <w:pPr>
        <w:widowControl w:val="0"/>
        <w:autoSpaceDE w:val="0"/>
        <w:autoSpaceDN w:val="0"/>
        <w:adjustRightInd w:val="0"/>
        <w:spacing w:before="100" w:after="100" w:line="240" w:lineRule="auto"/>
        <w:ind w:left="640" w:hanging="640"/>
        <w:rPr>
          <w:sz w:val="24"/>
          <w:szCs w:val="24"/>
          <w:lang w:val="en-US"/>
        </w:rPr>
      </w:pPr>
    </w:p>
    <w:p w:rsidR="00A048E7" w:rsidRPr="006A1593" w:rsidRDefault="00A048E7" w:rsidP="006C3295">
      <w:pPr>
        <w:widowControl w:val="0"/>
        <w:autoSpaceDE w:val="0"/>
        <w:autoSpaceDN w:val="0"/>
        <w:adjustRightInd w:val="0"/>
        <w:spacing w:before="100" w:after="100" w:line="240" w:lineRule="auto"/>
        <w:ind w:left="640" w:hanging="640"/>
        <w:rPr>
          <w:sz w:val="24"/>
          <w:szCs w:val="24"/>
          <w:lang w:val="en-US"/>
        </w:rPr>
      </w:pPr>
    </w:p>
    <w:p w:rsidR="00EF4A21" w:rsidRPr="006A1593" w:rsidRDefault="00EF4A21" w:rsidP="006C3295">
      <w:pPr>
        <w:widowControl w:val="0"/>
        <w:autoSpaceDE w:val="0"/>
        <w:autoSpaceDN w:val="0"/>
        <w:adjustRightInd w:val="0"/>
        <w:spacing w:before="100" w:after="100" w:line="240" w:lineRule="auto"/>
        <w:ind w:left="640" w:hanging="640"/>
        <w:rPr>
          <w:b/>
          <w:sz w:val="24"/>
          <w:szCs w:val="24"/>
          <w:lang w:val="en-US"/>
        </w:rPr>
      </w:pPr>
      <w:r w:rsidRPr="006A1593">
        <w:rPr>
          <w:b/>
          <w:sz w:val="24"/>
          <w:szCs w:val="24"/>
          <w:lang w:val="en-US"/>
        </w:rPr>
        <w:lastRenderedPageBreak/>
        <w:t>FIGURES</w:t>
      </w:r>
    </w:p>
    <w:p w:rsidR="005E0AFB" w:rsidRPr="006A1593" w:rsidRDefault="005E0AFB" w:rsidP="00EF4A21">
      <w:pPr>
        <w:rPr>
          <w:b/>
          <w:bCs/>
          <w:sz w:val="24"/>
          <w:szCs w:val="24"/>
          <w:lang w:val="en-US"/>
        </w:rPr>
      </w:pPr>
    </w:p>
    <w:p w:rsidR="00EF4A21" w:rsidRPr="006A1593" w:rsidRDefault="00EF4A21" w:rsidP="00EF4A21">
      <w:pPr>
        <w:rPr>
          <w:b/>
          <w:bCs/>
          <w:sz w:val="24"/>
          <w:szCs w:val="24"/>
          <w:lang w:val="en-US"/>
        </w:rPr>
      </w:pPr>
      <w:r w:rsidRPr="006A1593">
        <w:rPr>
          <w:b/>
          <w:bCs/>
          <w:sz w:val="24"/>
          <w:szCs w:val="24"/>
          <w:lang w:val="en-US"/>
        </w:rPr>
        <w:t xml:space="preserve">Figure 1. </w:t>
      </w:r>
    </w:p>
    <w:p w:rsidR="00EF4A21" w:rsidRPr="006A1593" w:rsidRDefault="00EF4A21" w:rsidP="00EF4A21">
      <w:pPr>
        <w:rPr>
          <w:bCs/>
          <w:sz w:val="24"/>
          <w:szCs w:val="24"/>
          <w:lang w:val="en-US"/>
        </w:rPr>
      </w:pPr>
      <w:r w:rsidRPr="006A1593">
        <w:rPr>
          <w:b/>
          <w:bCs/>
          <w:sz w:val="24"/>
          <w:szCs w:val="24"/>
          <w:lang w:val="en-US"/>
        </w:rPr>
        <w:t xml:space="preserve">Title. </w:t>
      </w:r>
      <w:r w:rsidRPr="006A1593">
        <w:rPr>
          <w:bCs/>
          <w:sz w:val="24"/>
          <w:szCs w:val="24"/>
          <w:lang w:val="en-US"/>
        </w:rPr>
        <w:t>Representative examples of NCCT markers of ICH expansion.</w:t>
      </w:r>
    </w:p>
    <w:p w:rsidR="00EF4A21" w:rsidRPr="006A1593" w:rsidRDefault="00EF4A21" w:rsidP="00EF4A21">
      <w:pPr>
        <w:rPr>
          <w:b/>
          <w:sz w:val="24"/>
          <w:szCs w:val="24"/>
          <w:lang w:val="en-US"/>
        </w:rPr>
      </w:pPr>
      <w:r w:rsidRPr="006A1593">
        <w:rPr>
          <w:b/>
          <w:bCs/>
          <w:sz w:val="24"/>
          <w:szCs w:val="24"/>
          <w:lang w:val="en-US"/>
        </w:rPr>
        <w:t>Legend</w:t>
      </w:r>
    </w:p>
    <w:p w:rsidR="00EF4A21" w:rsidRPr="006A1593" w:rsidRDefault="00EF4A21" w:rsidP="00EF4A21">
      <w:pPr>
        <w:numPr>
          <w:ilvl w:val="0"/>
          <w:numId w:val="7"/>
        </w:numPr>
        <w:ind w:left="397"/>
        <w:rPr>
          <w:sz w:val="24"/>
          <w:szCs w:val="24"/>
          <w:lang w:val="en-US"/>
        </w:rPr>
      </w:pPr>
      <w:r w:rsidRPr="006A1593">
        <w:rPr>
          <w:sz w:val="24"/>
          <w:szCs w:val="24"/>
          <w:lang w:val="en-US"/>
        </w:rPr>
        <w:t xml:space="preserve">Regular shape (grade I) and homogeneous density (grade I). </w:t>
      </w:r>
    </w:p>
    <w:p w:rsidR="00EF4A21" w:rsidRPr="006A1593" w:rsidRDefault="00EF4A21" w:rsidP="00EF4A21">
      <w:pPr>
        <w:numPr>
          <w:ilvl w:val="0"/>
          <w:numId w:val="7"/>
        </w:numPr>
        <w:ind w:left="397"/>
        <w:rPr>
          <w:sz w:val="24"/>
          <w:szCs w:val="24"/>
          <w:lang w:val="en-US"/>
        </w:rPr>
      </w:pPr>
      <w:r w:rsidRPr="006A1593">
        <w:rPr>
          <w:sz w:val="24"/>
          <w:szCs w:val="24"/>
          <w:lang w:val="en-US"/>
        </w:rPr>
        <w:t>Irregular shape (grade V) and heterogeneous density (grade V). Swirl sign (arrow).</w:t>
      </w:r>
    </w:p>
    <w:p w:rsidR="00EF4A21" w:rsidRPr="006A1593" w:rsidRDefault="00EF4A21" w:rsidP="00EF4A21">
      <w:pPr>
        <w:numPr>
          <w:ilvl w:val="0"/>
          <w:numId w:val="7"/>
        </w:numPr>
        <w:ind w:left="397"/>
        <w:rPr>
          <w:sz w:val="24"/>
          <w:szCs w:val="24"/>
          <w:lang w:val="en-US"/>
        </w:rPr>
      </w:pPr>
      <w:r w:rsidRPr="006A1593">
        <w:rPr>
          <w:sz w:val="24"/>
          <w:szCs w:val="24"/>
          <w:lang w:val="en-US"/>
        </w:rPr>
        <w:t>Island sign (all arrows), satellite sign (black arrow only).</w:t>
      </w:r>
    </w:p>
    <w:p w:rsidR="00EF4A21" w:rsidRPr="006A1593" w:rsidRDefault="00EF4A21" w:rsidP="00EF4A21">
      <w:pPr>
        <w:numPr>
          <w:ilvl w:val="0"/>
          <w:numId w:val="7"/>
        </w:numPr>
        <w:ind w:left="397"/>
        <w:rPr>
          <w:sz w:val="24"/>
          <w:szCs w:val="24"/>
        </w:rPr>
      </w:pPr>
      <w:r w:rsidRPr="006A1593">
        <w:rPr>
          <w:sz w:val="24"/>
          <w:szCs w:val="24"/>
        </w:rPr>
        <w:t>Fluid level (arrow).</w:t>
      </w:r>
    </w:p>
    <w:p w:rsidR="00EF4A21" w:rsidRPr="006A1593" w:rsidRDefault="00EF4A21" w:rsidP="00EF4A21">
      <w:pPr>
        <w:numPr>
          <w:ilvl w:val="0"/>
          <w:numId w:val="7"/>
        </w:numPr>
        <w:ind w:left="397"/>
        <w:rPr>
          <w:sz w:val="24"/>
          <w:szCs w:val="24"/>
        </w:rPr>
      </w:pPr>
      <w:r w:rsidRPr="006A1593">
        <w:rPr>
          <w:sz w:val="24"/>
          <w:szCs w:val="24"/>
        </w:rPr>
        <w:t>Blend sign (arrow).</w:t>
      </w:r>
    </w:p>
    <w:p w:rsidR="00EF4A21" w:rsidRPr="006A1593" w:rsidRDefault="00EF4A21" w:rsidP="00EF4A21">
      <w:pPr>
        <w:numPr>
          <w:ilvl w:val="0"/>
          <w:numId w:val="7"/>
        </w:numPr>
        <w:ind w:left="397"/>
        <w:rPr>
          <w:sz w:val="24"/>
          <w:szCs w:val="24"/>
          <w:lang w:val="en-US"/>
        </w:rPr>
      </w:pPr>
      <w:r w:rsidRPr="006A1593">
        <w:rPr>
          <w:sz w:val="24"/>
          <w:szCs w:val="24"/>
          <w:lang w:val="en-US"/>
        </w:rPr>
        <w:t>Hypodensities (all arrows), swirl sign (all arrows), black hole sign (dashed arrow only).</w:t>
      </w:r>
    </w:p>
    <w:p w:rsidR="00EF4A21" w:rsidRPr="006A1593" w:rsidRDefault="00EF4A21" w:rsidP="00EF4A21">
      <w:pPr>
        <w:rPr>
          <w:b/>
          <w:sz w:val="24"/>
          <w:szCs w:val="24"/>
          <w:lang w:val="en-US"/>
        </w:rPr>
      </w:pPr>
    </w:p>
    <w:p w:rsidR="00EF4A21" w:rsidRPr="006A1593" w:rsidRDefault="00EF4A21" w:rsidP="00EF4A21">
      <w:pPr>
        <w:rPr>
          <w:b/>
          <w:sz w:val="24"/>
          <w:szCs w:val="24"/>
          <w:lang w:val="en-US"/>
        </w:rPr>
      </w:pPr>
      <w:r w:rsidRPr="006A1593">
        <w:rPr>
          <w:b/>
          <w:sz w:val="24"/>
          <w:szCs w:val="24"/>
          <w:lang w:val="en-US"/>
        </w:rPr>
        <w:t xml:space="preserve">Figure 2. </w:t>
      </w:r>
    </w:p>
    <w:p w:rsidR="00EF4A21" w:rsidRPr="006A1593" w:rsidRDefault="00EF4A21" w:rsidP="00EF4A21">
      <w:pPr>
        <w:rPr>
          <w:sz w:val="24"/>
          <w:szCs w:val="24"/>
          <w:lang w:val="en-US"/>
        </w:rPr>
      </w:pPr>
      <w:r w:rsidRPr="006A1593">
        <w:rPr>
          <w:b/>
          <w:sz w:val="24"/>
          <w:szCs w:val="24"/>
          <w:lang w:val="en-US"/>
        </w:rPr>
        <w:t xml:space="preserve">Title. </w:t>
      </w:r>
      <w:r w:rsidRPr="006A1593">
        <w:rPr>
          <w:sz w:val="24"/>
          <w:szCs w:val="24"/>
          <w:lang w:val="en-US"/>
        </w:rPr>
        <w:t>Venn Diagram of the potential overlap between the shape and density NCCT features of acute ICH.</w:t>
      </w:r>
    </w:p>
    <w:p w:rsidR="00EF4A21" w:rsidRPr="006A1593" w:rsidRDefault="00EF4A21" w:rsidP="00EF4A21">
      <w:pPr>
        <w:rPr>
          <w:sz w:val="24"/>
          <w:szCs w:val="24"/>
          <w:lang w:val="en-US"/>
        </w:rPr>
      </w:pPr>
      <w:r w:rsidRPr="006A1593">
        <w:rPr>
          <w:b/>
          <w:sz w:val="24"/>
          <w:szCs w:val="24"/>
          <w:lang w:val="en-US"/>
        </w:rPr>
        <w:t>Legend.</w:t>
      </w:r>
      <w:r w:rsidRPr="006A1593">
        <w:rPr>
          <w:sz w:val="24"/>
          <w:szCs w:val="24"/>
          <w:lang w:val="en-US"/>
        </w:rPr>
        <w:t xml:space="preserve"> NCCT indicates non contrast CT; ICH intracerebral hemorrhage.</w:t>
      </w:r>
    </w:p>
    <w:p w:rsidR="006A1593" w:rsidRPr="006A1593" w:rsidRDefault="006A1593" w:rsidP="00EF4A21">
      <w:pPr>
        <w:rPr>
          <w:sz w:val="24"/>
          <w:szCs w:val="24"/>
          <w:lang w:val="en-US"/>
        </w:rPr>
      </w:pPr>
    </w:p>
    <w:p w:rsidR="006A1593" w:rsidRPr="006A1593" w:rsidRDefault="006A1593" w:rsidP="00EF4A21">
      <w:pPr>
        <w:rPr>
          <w:sz w:val="24"/>
          <w:szCs w:val="24"/>
          <w:lang w:val="en-US"/>
        </w:rPr>
      </w:pPr>
    </w:p>
    <w:p w:rsidR="006A1593" w:rsidRPr="006A1593" w:rsidRDefault="006A1593" w:rsidP="00EF4A21">
      <w:pPr>
        <w:rPr>
          <w:sz w:val="24"/>
          <w:szCs w:val="24"/>
          <w:lang w:val="en-US"/>
        </w:rPr>
      </w:pPr>
    </w:p>
    <w:p w:rsidR="006A1593" w:rsidRPr="006A1593" w:rsidRDefault="006A1593" w:rsidP="00EF4A21">
      <w:pPr>
        <w:rPr>
          <w:sz w:val="24"/>
          <w:szCs w:val="24"/>
          <w:lang w:val="en-US"/>
        </w:rPr>
      </w:pPr>
    </w:p>
    <w:p w:rsidR="006A1593" w:rsidRPr="006A1593" w:rsidRDefault="006A1593" w:rsidP="00EF4A21">
      <w:pPr>
        <w:rPr>
          <w:sz w:val="24"/>
          <w:szCs w:val="24"/>
          <w:lang w:val="en-US"/>
        </w:rPr>
      </w:pPr>
    </w:p>
    <w:p w:rsidR="006A1593" w:rsidRPr="006A1593" w:rsidRDefault="006A1593" w:rsidP="00EF4A21">
      <w:pPr>
        <w:rPr>
          <w:sz w:val="24"/>
          <w:szCs w:val="24"/>
          <w:lang w:val="en-US"/>
        </w:rPr>
      </w:pPr>
    </w:p>
    <w:p w:rsidR="006A1593" w:rsidRPr="006A1593" w:rsidRDefault="006A1593" w:rsidP="00EF4A21">
      <w:pPr>
        <w:rPr>
          <w:sz w:val="24"/>
          <w:szCs w:val="24"/>
          <w:lang w:val="en-US"/>
        </w:rPr>
      </w:pPr>
    </w:p>
    <w:p w:rsidR="006A1593" w:rsidRPr="006A1593" w:rsidRDefault="006A1593" w:rsidP="006A1593">
      <w:pPr>
        <w:pStyle w:val="Heading1"/>
        <w:rPr>
          <w:rFonts w:ascii="Times New Roman" w:hAnsi="Times New Roman"/>
          <w:sz w:val="24"/>
          <w:szCs w:val="24"/>
          <w:u w:val="none"/>
          <w:lang w:val="en-US"/>
        </w:rPr>
      </w:pPr>
      <w:r w:rsidRPr="006A1593">
        <w:rPr>
          <w:rFonts w:ascii="Times New Roman" w:hAnsi="Times New Roman"/>
          <w:sz w:val="24"/>
          <w:szCs w:val="24"/>
          <w:u w:val="none"/>
          <w:lang w:val="en-US"/>
        </w:rPr>
        <w:lastRenderedPageBreak/>
        <w:t xml:space="preserve">TABLES </w:t>
      </w:r>
    </w:p>
    <w:p w:rsidR="006A1593" w:rsidRPr="006A1593" w:rsidRDefault="006A1593" w:rsidP="006A1593">
      <w:pPr>
        <w:rPr>
          <w:sz w:val="24"/>
          <w:szCs w:val="24"/>
          <w:lang w:val="en-US"/>
        </w:rPr>
      </w:pPr>
      <w:r w:rsidRPr="006A1593">
        <w:rPr>
          <w:b/>
          <w:sz w:val="24"/>
          <w:szCs w:val="24"/>
          <w:lang w:val="en-US"/>
        </w:rPr>
        <w:t>Table 1.</w:t>
      </w:r>
      <w:r w:rsidRPr="006A1593">
        <w:rPr>
          <w:sz w:val="24"/>
          <w:szCs w:val="24"/>
          <w:lang w:val="en-US"/>
        </w:rPr>
        <w:t xml:space="preserve"> Diagnostic Criteria for NCCT markers</w:t>
      </w:r>
    </w:p>
    <w:tbl>
      <w:tblPr>
        <w:tblW w:w="10173" w:type="dxa"/>
        <w:tblInd w:w="-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518"/>
        <w:gridCol w:w="7655"/>
      </w:tblGrid>
      <w:tr w:rsidR="006A1593" w:rsidRPr="006A1593" w:rsidTr="00F7388B">
        <w:trPr>
          <w:trHeight w:hRule="exact" w:val="494"/>
        </w:trPr>
        <w:tc>
          <w:tcPr>
            <w:tcW w:w="10173" w:type="dxa"/>
            <w:gridSpan w:val="2"/>
            <w:tcBorders>
              <w:bottom w:val="single" w:sz="6" w:space="0" w:color="auto"/>
            </w:tcBorders>
            <w:shd w:val="pct10" w:color="auto" w:fill="auto"/>
            <w:vAlign w:val="center"/>
          </w:tcPr>
          <w:p w:rsidR="006A1593" w:rsidRPr="006A1593" w:rsidRDefault="006A1593" w:rsidP="00F7388B">
            <w:pPr>
              <w:spacing w:before="60" w:after="60" w:line="276" w:lineRule="auto"/>
              <w:rPr>
                <w:b/>
                <w:sz w:val="24"/>
                <w:szCs w:val="24"/>
                <w:lang w:val="en-US"/>
              </w:rPr>
            </w:pPr>
            <w:r w:rsidRPr="006A1593">
              <w:rPr>
                <w:b/>
                <w:sz w:val="24"/>
                <w:szCs w:val="24"/>
                <w:lang w:val="en-US"/>
              </w:rPr>
              <w:t>DENSITY MARKERS</w:t>
            </w:r>
          </w:p>
        </w:tc>
      </w:tr>
      <w:tr w:rsidR="006A1593" w:rsidRPr="006A1593" w:rsidTr="00F7388B">
        <w:trPr>
          <w:trHeight w:hRule="exact" w:val="1054"/>
        </w:trPr>
        <w:tc>
          <w:tcPr>
            <w:tcW w:w="2518" w:type="dxa"/>
            <w:tcBorders>
              <w:top w:val="single" w:sz="6" w:space="0" w:color="auto"/>
              <w:bottom w:val="single" w:sz="6" w:space="0" w:color="auto"/>
              <w:right w:val="single" w:sz="6" w:space="0" w:color="auto"/>
            </w:tcBorders>
            <w:vAlign w:val="center"/>
          </w:tcPr>
          <w:p w:rsidR="006A1593" w:rsidRPr="006A1593" w:rsidRDefault="006A1593" w:rsidP="00F7388B">
            <w:pPr>
              <w:spacing w:before="60" w:after="60" w:line="276" w:lineRule="auto"/>
              <w:rPr>
                <w:b/>
                <w:sz w:val="24"/>
                <w:szCs w:val="24"/>
                <w:lang w:val="en-US"/>
              </w:rPr>
            </w:pPr>
            <w:r w:rsidRPr="006A1593">
              <w:rPr>
                <w:b/>
                <w:sz w:val="24"/>
                <w:szCs w:val="24"/>
                <w:lang w:val="en-US"/>
              </w:rPr>
              <w:t xml:space="preserve">Heterogeneous Density </w:t>
            </w:r>
          </w:p>
        </w:tc>
        <w:tc>
          <w:tcPr>
            <w:tcW w:w="7655" w:type="dxa"/>
            <w:tcBorders>
              <w:top w:val="single" w:sz="6" w:space="0" w:color="auto"/>
              <w:left w:val="single" w:sz="6" w:space="0" w:color="auto"/>
              <w:bottom w:val="single" w:sz="6" w:space="0" w:color="auto"/>
            </w:tcBorders>
            <w:vAlign w:val="center"/>
          </w:tcPr>
          <w:p w:rsidR="006A1593" w:rsidRPr="006A1593" w:rsidRDefault="006A1593" w:rsidP="00F7388B">
            <w:pPr>
              <w:spacing w:before="60" w:after="60" w:line="276" w:lineRule="auto"/>
              <w:rPr>
                <w:sz w:val="24"/>
                <w:szCs w:val="24"/>
                <w:lang w:val="en-US"/>
              </w:rPr>
            </w:pPr>
            <w:r w:rsidRPr="006A1593">
              <w:rPr>
                <w:sz w:val="24"/>
                <w:szCs w:val="24"/>
                <w:lang w:val="en-US"/>
              </w:rPr>
              <w:t>At least 3 foci of hypoattenuation compared with the surrounding hematoma, evaluated on the axial NCCT slice showing largest ICH area. (Barras density scale III, IV or V).</w:t>
            </w:r>
          </w:p>
        </w:tc>
      </w:tr>
      <w:tr w:rsidR="006A1593" w:rsidRPr="006A1593" w:rsidTr="00F7388B">
        <w:trPr>
          <w:trHeight w:hRule="exact" w:val="982"/>
        </w:trPr>
        <w:tc>
          <w:tcPr>
            <w:tcW w:w="2518" w:type="dxa"/>
            <w:tcBorders>
              <w:top w:val="single" w:sz="6" w:space="0" w:color="auto"/>
              <w:bottom w:val="single" w:sz="6" w:space="0" w:color="auto"/>
              <w:right w:val="single" w:sz="6" w:space="0" w:color="auto"/>
            </w:tcBorders>
            <w:vAlign w:val="center"/>
          </w:tcPr>
          <w:p w:rsidR="006A1593" w:rsidRPr="006A1593" w:rsidRDefault="006A1593" w:rsidP="00F7388B">
            <w:pPr>
              <w:spacing w:before="60" w:after="60" w:line="276" w:lineRule="auto"/>
              <w:rPr>
                <w:b/>
                <w:sz w:val="24"/>
                <w:szCs w:val="24"/>
                <w:lang w:val="en-US"/>
              </w:rPr>
            </w:pPr>
            <w:r w:rsidRPr="006A1593">
              <w:rPr>
                <w:b/>
                <w:sz w:val="24"/>
                <w:szCs w:val="24"/>
                <w:lang w:val="en-US"/>
              </w:rPr>
              <w:t>Swirl Sign</w:t>
            </w:r>
          </w:p>
        </w:tc>
        <w:tc>
          <w:tcPr>
            <w:tcW w:w="7655" w:type="dxa"/>
            <w:tcBorders>
              <w:top w:val="single" w:sz="6" w:space="0" w:color="auto"/>
              <w:left w:val="single" w:sz="6" w:space="0" w:color="auto"/>
              <w:bottom w:val="single" w:sz="6" w:space="0" w:color="auto"/>
            </w:tcBorders>
            <w:vAlign w:val="center"/>
          </w:tcPr>
          <w:p w:rsidR="006A1593" w:rsidRPr="006A1593" w:rsidRDefault="006A1593" w:rsidP="00F7388B">
            <w:pPr>
              <w:spacing w:before="60" w:after="60" w:line="276" w:lineRule="auto"/>
              <w:rPr>
                <w:sz w:val="24"/>
                <w:szCs w:val="24"/>
                <w:lang w:val="en-US"/>
              </w:rPr>
            </w:pPr>
            <w:r w:rsidRPr="006A1593">
              <w:rPr>
                <w:sz w:val="24"/>
                <w:szCs w:val="24"/>
                <w:lang w:val="en-US"/>
              </w:rPr>
              <w:t>Rounded, streak-like or irregular region of hypo or isoattenuation compared with the brain parenchyma. Does not have to be encapsulated in the ICH.</w:t>
            </w:r>
          </w:p>
        </w:tc>
      </w:tr>
      <w:tr w:rsidR="006A1593" w:rsidRPr="006A1593" w:rsidTr="00F7388B">
        <w:trPr>
          <w:trHeight w:hRule="exact" w:val="869"/>
        </w:trPr>
        <w:tc>
          <w:tcPr>
            <w:tcW w:w="2518" w:type="dxa"/>
            <w:tcBorders>
              <w:top w:val="single" w:sz="6" w:space="0" w:color="auto"/>
              <w:bottom w:val="single" w:sz="6" w:space="0" w:color="auto"/>
              <w:right w:val="single" w:sz="6" w:space="0" w:color="auto"/>
            </w:tcBorders>
            <w:vAlign w:val="center"/>
          </w:tcPr>
          <w:p w:rsidR="006A1593" w:rsidRPr="006A1593" w:rsidRDefault="006A1593" w:rsidP="00F7388B">
            <w:pPr>
              <w:spacing w:before="60" w:after="60" w:line="276" w:lineRule="auto"/>
              <w:rPr>
                <w:b/>
                <w:sz w:val="24"/>
                <w:szCs w:val="24"/>
                <w:lang w:val="en-US"/>
              </w:rPr>
            </w:pPr>
            <w:r w:rsidRPr="006A1593">
              <w:rPr>
                <w:b/>
                <w:sz w:val="24"/>
                <w:szCs w:val="24"/>
                <w:lang w:val="en-US"/>
              </w:rPr>
              <w:t>Hypodensity</w:t>
            </w:r>
          </w:p>
        </w:tc>
        <w:tc>
          <w:tcPr>
            <w:tcW w:w="7655" w:type="dxa"/>
            <w:tcBorders>
              <w:top w:val="single" w:sz="6" w:space="0" w:color="auto"/>
              <w:left w:val="single" w:sz="6" w:space="0" w:color="auto"/>
              <w:bottom w:val="single" w:sz="6" w:space="0" w:color="auto"/>
            </w:tcBorders>
            <w:vAlign w:val="center"/>
          </w:tcPr>
          <w:p w:rsidR="006A1593" w:rsidRPr="006A1593" w:rsidRDefault="006A1593" w:rsidP="00F7388B">
            <w:pPr>
              <w:spacing w:before="60" w:after="60" w:line="276" w:lineRule="auto"/>
              <w:rPr>
                <w:sz w:val="24"/>
                <w:szCs w:val="24"/>
                <w:lang w:val="en-US"/>
              </w:rPr>
            </w:pPr>
            <w:r w:rsidRPr="006A1593">
              <w:rPr>
                <w:sz w:val="24"/>
                <w:szCs w:val="24"/>
                <w:lang w:val="en-US"/>
              </w:rPr>
              <w:t>Any hypodense region strictly encapsulated within the hemorrhage with any shape, size and density. Does not require density measurement.</w:t>
            </w:r>
          </w:p>
        </w:tc>
      </w:tr>
      <w:tr w:rsidR="006A1593" w:rsidRPr="006A1593" w:rsidTr="00F7388B">
        <w:trPr>
          <w:trHeight w:hRule="exact" w:val="869"/>
        </w:trPr>
        <w:tc>
          <w:tcPr>
            <w:tcW w:w="2518" w:type="dxa"/>
            <w:tcBorders>
              <w:top w:val="single" w:sz="6" w:space="0" w:color="auto"/>
              <w:bottom w:val="single" w:sz="6" w:space="0" w:color="auto"/>
              <w:right w:val="single" w:sz="6" w:space="0" w:color="auto"/>
            </w:tcBorders>
            <w:vAlign w:val="center"/>
          </w:tcPr>
          <w:p w:rsidR="006A1593" w:rsidRPr="006A1593" w:rsidRDefault="006A1593" w:rsidP="00F7388B">
            <w:pPr>
              <w:spacing w:before="60" w:after="60" w:line="276" w:lineRule="auto"/>
              <w:rPr>
                <w:b/>
                <w:sz w:val="24"/>
                <w:szCs w:val="24"/>
                <w:lang w:val="en-US"/>
              </w:rPr>
            </w:pPr>
            <w:r w:rsidRPr="006A1593">
              <w:rPr>
                <w:b/>
                <w:sz w:val="24"/>
                <w:szCs w:val="24"/>
                <w:lang w:val="en-US"/>
              </w:rPr>
              <w:t>Black Hole Sign</w:t>
            </w:r>
          </w:p>
        </w:tc>
        <w:tc>
          <w:tcPr>
            <w:tcW w:w="7655" w:type="dxa"/>
            <w:tcBorders>
              <w:top w:val="single" w:sz="6" w:space="0" w:color="auto"/>
              <w:left w:val="single" w:sz="6" w:space="0" w:color="auto"/>
              <w:bottom w:val="single" w:sz="6" w:space="0" w:color="auto"/>
            </w:tcBorders>
            <w:vAlign w:val="center"/>
          </w:tcPr>
          <w:p w:rsidR="006A1593" w:rsidRPr="006A1593" w:rsidRDefault="006A1593" w:rsidP="00F7388B">
            <w:pPr>
              <w:spacing w:before="60" w:after="60" w:line="276" w:lineRule="auto"/>
              <w:rPr>
                <w:sz w:val="24"/>
                <w:szCs w:val="24"/>
                <w:lang w:val="en-US"/>
              </w:rPr>
            </w:pPr>
            <w:r w:rsidRPr="006A1593">
              <w:rPr>
                <w:sz w:val="24"/>
                <w:szCs w:val="24"/>
                <w:lang w:val="en-US"/>
              </w:rPr>
              <w:t>Hypoattenuating area with a density difference &gt; 28 HU compared with the surrounding hematoma. No connection with surface outside the hematoma.</w:t>
            </w:r>
          </w:p>
        </w:tc>
      </w:tr>
      <w:tr w:rsidR="006A1593" w:rsidRPr="006A1593" w:rsidTr="00F7388B">
        <w:trPr>
          <w:trHeight w:hRule="exact" w:val="979"/>
        </w:trPr>
        <w:tc>
          <w:tcPr>
            <w:tcW w:w="2518" w:type="dxa"/>
            <w:tcBorders>
              <w:top w:val="single" w:sz="6" w:space="0" w:color="auto"/>
              <w:bottom w:val="single" w:sz="6" w:space="0" w:color="auto"/>
              <w:right w:val="single" w:sz="6" w:space="0" w:color="auto"/>
            </w:tcBorders>
            <w:vAlign w:val="center"/>
          </w:tcPr>
          <w:p w:rsidR="006A1593" w:rsidRPr="006A1593" w:rsidRDefault="006A1593" w:rsidP="00F7388B">
            <w:pPr>
              <w:spacing w:before="60" w:after="60" w:line="276" w:lineRule="auto"/>
              <w:rPr>
                <w:b/>
                <w:sz w:val="24"/>
                <w:szCs w:val="24"/>
                <w:lang w:val="en-US"/>
              </w:rPr>
            </w:pPr>
            <w:r w:rsidRPr="006A1593">
              <w:rPr>
                <w:b/>
                <w:sz w:val="24"/>
                <w:szCs w:val="24"/>
                <w:lang w:val="en-US"/>
              </w:rPr>
              <w:t>Blend Sign</w:t>
            </w:r>
          </w:p>
        </w:tc>
        <w:tc>
          <w:tcPr>
            <w:tcW w:w="7655" w:type="dxa"/>
            <w:tcBorders>
              <w:top w:val="single" w:sz="6" w:space="0" w:color="auto"/>
              <w:left w:val="single" w:sz="6" w:space="0" w:color="auto"/>
              <w:bottom w:val="single" w:sz="6" w:space="0" w:color="auto"/>
            </w:tcBorders>
            <w:vAlign w:val="center"/>
          </w:tcPr>
          <w:p w:rsidR="006A1593" w:rsidRPr="006A1593" w:rsidRDefault="006A1593" w:rsidP="00F7388B">
            <w:pPr>
              <w:spacing w:before="60" w:after="60" w:line="276" w:lineRule="auto"/>
              <w:rPr>
                <w:sz w:val="24"/>
                <w:szCs w:val="24"/>
                <w:lang w:val="en-US"/>
              </w:rPr>
            </w:pPr>
            <w:r w:rsidRPr="006A1593">
              <w:rPr>
                <w:sz w:val="24"/>
                <w:szCs w:val="24"/>
                <w:lang w:val="en-US"/>
              </w:rPr>
              <w:t xml:space="preserve">Relatively hypoattenuating area next to a hyperattenuating area of the hematoma, with a well-defined margin and a density difference &gt;18 HU between the two areas. </w:t>
            </w:r>
          </w:p>
        </w:tc>
      </w:tr>
      <w:tr w:rsidR="006A1593" w:rsidRPr="006A1593" w:rsidTr="00F7388B">
        <w:trPr>
          <w:trHeight w:hRule="exact" w:val="1186"/>
        </w:trPr>
        <w:tc>
          <w:tcPr>
            <w:tcW w:w="2518" w:type="dxa"/>
            <w:tcBorders>
              <w:top w:val="single" w:sz="6" w:space="0" w:color="auto"/>
              <w:bottom w:val="single" w:sz="6" w:space="0" w:color="auto"/>
              <w:right w:val="single" w:sz="6" w:space="0" w:color="auto"/>
            </w:tcBorders>
            <w:vAlign w:val="center"/>
          </w:tcPr>
          <w:p w:rsidR="006A1593" w:rsidRPr="006A1593" w:rsidRDefault="006A1593" w:rsidP="00F7388B">
            <w:pPr>
              <w:spacing w:before="60" w:after="60" w:line="276" w:lineRule="auto"/>
              <w:rPr>
                <w:b/>
                <w:sz w:val="24"/>
                <w:szCs w:val="24"/>
                <w:lang w:val="en-US"/>
              </w:rPr>
            </w:pPr>
            <w:r w:rsidRPr="006A1593">
              <w:rPr>
                <w:b/>
                <w:sz w:val="24"/>
                <w:szCs w:val="24"/>
                <w:lang w:val="en-US"/>
              </w:rPr>
              <w:t>Fluid Level</w:t>
            </w:r>
          </w:p>
        </w:tc>
        <w:tc>
          <w:tcPr>
            <w:tcW w:w="7655" w:type="dxa"/>
            <w:tcBorders>
              <w:top w:val="single" w:sz="6" w:space="0" w:color="auto"/>
              <w:left w:val="single" w:sz="6" w:space="0" w:color="auto"/>
              <w:bottom w:val="single" w:sz="6" w:space="0" w:color="auto"/>
            </w:tcBorders>
            <w:vAlign w:val="center"/>
          </w:tcPr>
          <w:p w:rsidR="006A1593" w:rsidRPr="006A1593" w:rsidRDefault="006A1593" w:rsidP="00F7388B">
            <w:pPr>
              <w:spacing w:before="60" w:after="60" w:line="276" w:lineRule="auto"/>
              <w:rPr>
                <w:sz w:val="24"/>
                <w:szCs w:val="24"/>
                <w:lang w:val="en-US"/>
              </w:rPr>
            </w:pPr>
            <w:r w:rsidRPr="006A1593">
              <w:rPr>
                <w:rFonts w:eastAsia="Times New Roman"/>
                <w:sz w:val="24"/>
                <w:szCs w:val="24"/>
                <w:shd w:val="clear" w:color="auto" w:fill="FFFFFF"/>
                <w:lang w:val="en-US"/>
              </w:rPr>
              <w:t>Presence of one distinct hypoattenuating area (hypodense to the brain) above and one hyperattenuating area (hyperdense to the brain) below a discrete straight line of separation, irrespective of its density appearance.</w:t>
            </w:r>
          </w:p>
        </w:tc>
      </w:tr>
      <w:tr w:rsidR="006A1593" w:rsidRPr="006A1593" w:rsidTr="00F7388B">
        <w:trPr>
          <w:trHeight w:hRule="exact" w:val="440"/>
        </w:trPr>
        <w:tc>
          <w:tcPr>
            <w:tcW w:w="10173" w:type="dxa"/>
            <w:gridSpan w:val="2"/>
            <w:tcBorders>
              <w:top w:val="single" w:sz="6" w:space="0" w:color="auto"/>
              <w:bottom w:val="single" w:sz="6" w:space="0" w:color="auto"/>
            </w:tcBorders>
            <w:shd w:val="pct10" w:color="auto" w:fill="auto"/>
            <w:vAlign w:val="center"/>
          </w:tcPr>
          <w:p w:rsidR="006A1593" w:rsidRPr="006A1593" w:rsidRDefault="006A1593" w:rsidP="00F7388B">
            <w:pPr>
              <w:spacing w:before="60" w:after="60" w:line="276" w:lineRule="auto"/>
              <w:rPr>
                <w:b/>
                <w:sz w:val="24"/>
                <w:szCs w:val="24"/>
                <w:lang w:val="en-US"/>
              </w:rPr>
            </w:pPr>
            <w:r w:rsidRPr="006A1593">
              <w:rPr>
                <w:b/>
                <w:sz w:val="24"/>
                <w:szCs w:val="24"/>
                <w:lang w:val="en-US"/>
              </w:rPr>
              <w:t>SHAPE MARKERS</w:t>
            </w:r>
          </w:p>
        </w:tc>
      </w:tr>
      <w:tr w:rsidR="006A1593" w:rsidRPr="006A1593" w:rsidTr="00F7388B">
        <w:trPr>
          <w:trHeight w:hRule="exact" w:val="1187"/>
        </w:trPr>
        <w:tc>
          <w:tcPr>
            <w:tcW w:w="2518" w:type="dxa"/>
            <w:tcBorders>
              <w:top w:val="single" w:sz="6" w:space="0" w:color="auto"/>
              <w:left w:val="single" w:sz="12" w:space="0" w:color="auto"/>
              <w:bottom w:val="single" w:sz="6" w:space="0" w:color="auto"/>
              <w:right w:val="single" w:sz="6" w:space="0" w:color="auto"/>
            </w:tcBorders>
            <w:vAlign w:val="center"/>
          </w:tcPr>
          <w:p w:rsidR="006A1593" w:rsidRPr="006A1593" w:rsidRDefault="006A1593" w:rsidP="00F7388B">
            <w:pPr>
              <w:spacing w:before="60" w:after="60" w:line="276" w:lineRule="auto"/>
              <w:rPr>
                <w:b/>
                <w:sz w:val="24"/>
                <w:szCs w:val="24"/>
                <w:lang w:val="en-US"/>
              </w:rPr>
            </w:pPr>
            <w:r w:rsidRPr="006A1593">
              <w:rPr>
                <w:b/>
                <w:sz w:val="24"/>
                <w:szCs w:val="24"/>
                <w:lang w:val="en-US"/>
              </w:rPr>
              <w:t>Irregular Shape</w:t>
            </w:r>
          </w:p>
        </w:tc>
        <w:tc>
          <w:tcPr>
            <w:tcW w:w="7655" w:type="dxa"/>
            <w:tcBorders>
              <w:top w:val="single" w:sz="6" w:space="0" w:color="auto"/>
              <w:left w:val="single" w:sz="6" w:space="0" w:color="auto"/>
              <w:bottom w:val="single" w:sz="6" w:space="0" w:color="auto"/>
              <w:right w:val="single" w:sz="12" w:space="0" w:color="auto"/>
            </w:tcBorders>
            <w:vAlign w:val="center"/>
          </w:tcPr>
          <w:p w:rsidR="006A1593" w:rsidRPr="006A1593" w:rsidRDefault="006A1593" w:rsidP="00F7388B">
            <w:pPr>
              <w:spacing w:before="60" w:after="60" w:line="276" w:lineRule="auto"/>
              <w:rPr>
                <w:sz w:val="24"/>
                <w:szCs w:val="24"/>
                <w:lang w:val="en-US"/>
              </w:rPr>
            </w:pPr>
            <w:r w:rsidRPr="006A1593">
              <w:rPr>
                <w:sz w:val="24"/>
                <w:szCs w:val="24"/>
                <w:lang w:val="en-US"/>
              </w:rPr>
              <w:t>2 or more focal hematoma margin irregularities, joined or separate from the hematoma edge, evaluated on the axial NCCT slice showing the largest ICH area (Barras shape scale III, IV, V ).</w:t>
            </w:r>
          </w:p>
        </w:tc>
      </w:tr>
      <w:tr w:rsidR="006A1593" w:rsidRPr="006A1593" w:rsidTr="00F7388B">
        <w:trPr>
          <w:trHeight w:hRule="exact" w:val="837"/>
        </w:trPr>
        <w:tc>
          <w:tcPr>
            <w:tcW w:w="2518" w:type="dxa"/>
            <w:tcBorders>
              <w:top w:val="single" w:sz="6" w:space="0" w:color="auto"/>
              <w:left w:val="single" w:sz="12" w:space="0" w:color="auto"/>
              <w:bottom w:val="single" w:sz="6" w:space="0" w:color="auto"/>
              <w:right w:val="single" w:sz="6" w:space="0" w:color="auto"/>
            </w:tcBorders>
            <w:vAlign w:val="center"/>
          </w:tcPr>
          <w:p w:rsidR="006A1593" w:rsidRPr="006A1593" w:rsidRDefault="006A1593" w:rsidP="00F7388B">
            <w:pPr>
              <w:spacing w:before="60" w:after="60" w:line="276" w:lineRule="auto"/>
              <w:rPr>
                <w:b/>
                <w:sz w:val="24"/>
                <w:szCs w:val="24"/>
                <w:lang w:val="en-US"/>
              </w:rPr>
            </w:pPr>
            <w:r w:rsidRPr="006A1593">
              <w:rPr>
                <w:b/>
                <w:sz w:val="24"/>
                <w:szCs w:val="24"/>
                <w:lang w:val="en-US"/>
              </w:rPr>
              <w:t>Island Sign</w:t>
            </w:r>
          </w:p>
        </w:tc>
        <w:tc>
          <w:tcPr>
            <w:tcW w:w="7655" w:type="dxa"/>
            <w:tcBorders>
              <w:top w:val="single" w:sz="6" w:space="0" w:color="auto"/>
              <w:left w:val="single" w:sz="6" w:space="0" w:color="auto"/>
              <w:bottom w:val="single" w:sz="6" w:space="0" w:color="auto"/>
              <w:right w:val="single" w:sz="12" w:space="0" w:color="auto"/>
            </w:tcBorders>
            <w:vAlign w:val="center"/>
          </w:tcPr>
          <w:p w:rsidR="006A1593" w:rsidRPr="006A1593" w:rsidRDefault="006A1593" w:rsidP="00F7388B">
            <w:pPr>
              <w:spacing w:before="60" w:after="60" w:line="276" w:lineRule="auto"/>
              <w:rPr>
                <w:sz w:val="24"/>
                <w:szCs w:val="24"/>
                <w:lang w:val="en-US"/>
              </w:rPr>
            </w:pPr>
            <w:r w:rsidRPr="006A1593">
              <w:rPr>
                <w:sz w:val="24"/>
                <w:szCs w:val="24"/>
                <w:lang w:val="en-US"/>
              </w:rPr>
              <w:t>At least 3 scattered small hematomas all separate from the main ICH or at least 4 small hematomas some or all of which may connect with the ICH</w:t>
            </w:r>
          </w:p>
        </w:tc>
      </w:tr>
      <w:tr w:rsidR="006A1593" w:rsidRPr="006A1593" w:rsidTr="00F7388B">
        <w:trPr>
          <w:trHeight w:hRule="exact" w:val="849"/>
        </w:trPr>
        <w:tc>
          <w:tcPr>
            <w:tcW w:w="2518" w:type="dxa"/>
            <w:tcBorders>
              <w:top w:val="single" w:sz="6" w:space="0" w:color="auto"/>
              <w:left w:val="single" w:sz="12" w:space="0" w:color="auto"/>
              <w:right w:val="single" w:sz="6" w:space="0" w:color="auto"/>
            </w:tcBorders>
            <w:vAlign w:val="center"/>
          </w:tcPr>
          <w:p w:rsidR="006A1593" w:rsidRPr="006A1593" w:rsidRDefault="006A1593" w:rsidP="00F7388B">
            <w:pPr>
              <w:spacing w:before="60" w:after="60" w:line="276" w:lineRule="auto"/>
              <w:rPr>
                <w:b/>
                <w:sz w:val="24"/>
                <w:szCs w:val="24"/>
                <w:lang w:val="en-US"/>
              </w:rPr>
            </w:pPr>
            <w:r w:rsidRPr="006A1593">
              <w:rPr>
                <w:b/>
                <w:sz w:val="24"/>
                <w:szCs w:val="24"/>
                <w:lang w:val="en-US"/>
              </w:rPr>
              <w:t>Satellite Sign</w:t>
            </w:r>
          </w:p>
        </w:tc>
        <w:tc>
          <w:tcPr>
            <w:tcW w:w="7655" w:type="dxa"/>
            <w:tcBorders>
              <w:top w:val="single" w:sz="6" w:space="0" w:color="auto"/>
              <w:left w:val="single" w:sz="6" w:space="0" w:color="auto"/>
              <w:right w:val="single" w:sz="12" w:space="0" w:color="auto"/>
            </w:tcBorders>
            <w:vAlign w:val="center"/>
          </w:tcPr>
          <w:p w:rsidR="006A1593" w:rsidRPr="006A1593" w:rsidRDefault="006A1593" w:rsidP="00F7388B">
            <w:pPr>
              <w:spacing w:before="60" w:after="60" w:line="276" w:lineRule="auto"/>
              <w:rPr>
                <w:sz w:val="24"/>
                <w:szCs w:val="24"/>
                <w:lang w:val="en-US"/>
              </w:rPr>
            </w:pPr>
            <w:r w:rsidRPr="006A1593">
              <w:rPr>
                <w:sz w:val="24"/>
                <w:szCs w:val="24"/>
                <w:lang w:val="en-US"/>
              </w:rPr>
              <w:t>A small hematoma (diameter &lt;10 mm) separate from the main hemorrhage in at least one slice and distinct from main hematoma by 1-20 mm separation.</w:t>
            </w:r>
          </w:p>
        </w:tc>
      </w:tr>
    </w:tbl>
    <w:p w:rsidR="006A1593" w:rsidRPr="006A1593" w:rsidRDefault="006A1593" w:rsidP="006A1593">
      <w:pPr>
        <w:rPr>
          <w:sz w:val="24"/>
          <w:szCs w:val="24"/>
          <w:lang w:val="en-US"/>
        </w:rPr>
      </w:pPr>
    </w:p>
    <w:p w:rsidR="006A1593" w:rsidRPr="006A1593" w:rsidRDefault="006A1593" w:rsidP="006A1593">
      <w:pPr>
        <w:rPr>
          <w:sz w:val="24"/>
          <w:szCs w:val="24"/>
          <w:lang w:val="en-US"/>
        </w:rPr>
      </w:pPr>
      <w:r w:rsidRPr="006A1593">
        <w:rPr>
          <w:sz w:val="24"/>
          <w:szCs w:val="24"/>
          <w:lang w:val="en-US"/>
        </w:rPr>
        <w:t>NCCT indicates non-contrast computed tomography; HU Hounsfield units; ICH intracerebral hemorrhage.</w:t>
      </w:r>
    </w:p>
    <w:p w:rsidR="006A1593" w:rsidRPr="006A1593" w:rsidRDefault="006A1593" w:rsidP="006A1593">
      <w:pPr>
        <w:rPr>
          <w:sz w:val="24"/>
          <w:szCs w:val="24"/>
          <w:lang w:val="en-US"/>
        </w:rPr>
      </w:pPr>
    </w:p>
    <w:p w:rsidR="006A1593" w:rsidRPr="006A1593" w:rsidRDefault="006A1593" w:rsidP="006A1593">
      <w:pPr>
        <w:rPr>
          <w:sz w:val="24"/>
          <w:szCs w:val="24"/>
          <w:lang w:val="en-US"/>
        </w:rPr>
      </w:pPr>
    </w:p>
    <w:p w:rsidR="006A1593" w:rsidRPr="006A1593" w:rsidRDefault="006A1593" w:rsidP="006A1593">
      <w:pPr>
        <w:spacing w:after="0"/>
        <w:rPr>
          <w:b/>
          <w:sz w:val="24"/>
          <w:szCs w:val="24"/>
          <w:lang w:val="en-US"/>
        </w:rPr>
      </w:pPr>
      <w:r w:rsidRPr="006A1593">
        <w:rPr>
          <w:b/>
          <w:sz w:val="24"/>
          <w:szCs w:val="24"/>
          <w:lang w:val="en-US"/>
        </w:rPr>
        <w:lastRenderedPageBreak/>
        <w:t xml:space="preserve">Table 2. </w:t>
      </w:r>
      <w:r w:rsidRPr="006A1593">
        <w:rPr>
          <w:rFonts w:eastAsia="Times New Roman"/>
          <w:bCs/>
          <w:color w:val="000000"/>
          <w:sz w:val="24"/>
          <w:szCs w:val="24"/>
          <w:lang w:val="en-US" w:eastAsia="it-IT"/>
        </w:rPr>
        <w:t>Test Characteristics of NCCT markers of ICH expansion</w:t>
      </w:r>
    </w:p>
    <w:tbl>
      <w:tblPr>
        <w:tblW w:w="10553" w:type="dxa"/>
        <w:tblInd w:w="-497" w:type="dxa"/>
        <w:tblLayout w:type="fixed"/>
        <w:tblCellMar>
          <w:left w:w="70" w:type="dxa"/>
          <w:right w:w="70" w:type="dxa"/>
        </w:tblCellMar>
        <w:tblLook w:val="0000" w:firstRow="0" w:lastRow="0" w:firstColumn="0" w:lastColumn="0" w:noHBand="0" w:noVBand="0"/>
      </w:tblPr>
      <w:tblGrid>
        <w:gridCol w:w="2528"/>
        <w:gridCol w:w="1847"/>
        <w:gridCol w:w="1925"/>
        <w:gridCol w:w="1134"/>
        <w:gridCol w:w="1213"/>
        <w:gridCol w:w="961"/>
        <w:gridCol w:w="945"/>
      </w:tblGrid>
      <w:tr w:rsidR="006A1593" w:rsidRPr="006A1593" w:rsidTr="00F7388B">
        <w:trPr>
          <w:trHeight w:val="315"/>
        </w:trPr>
        <w:tc>
          <w:tcPr>
            <w:tcW w:w="4375" w:type="dxa"/>
            <w:gridSpan w:val="2"/>
            <w:tcBorders>
              <w:top w:val="nil"/>
              <w:left w:val="nil"/>
              <w:bottom w:val="single" w:sz="12" w:space="0" w:color="auto"/>
              <w:right w:val="nil"/>
            </w:tcBorders>
            <w:vAlign w:val="bottom"/>
          </w:tcPr>
          <w:p w:rsidR="006A1593" w:rsidRPr="006A1593" w:rsidRDefault="006A1593" w:rsidP="00F7388B">
            <w:pPr>
              <w:spacing w:after="0" w:line="240" w:lineRule="auto"/>
              <w:rPr>
                <w:rFonts w:eastAsia="Times New Roman"/>
                <w:b/>
                <w:bCs/>
                <w:color w:val="000000"/>
                <w:lang w:val="en-US" w:eastAsia="it-IT"/>
              </w:rPr>
            </w:pPr>
          </w:p>
        </w:tc>
        <w:tc>
          <w:tcPr>
            <w:tcW w:w="1925" w:type="dxa"/>
            <w:tcBorders>
              <w:top w:val="nil"/>
              <w:left w:val="nil"/>
              <w:bottom w:val="single" w:sz="12" w:space="0" w:color="auto"/>
              <w:right w:val="nil"/>
            </w:tcBorders>
            <w:vAlign w:val="bottom"/>
          </w:tcPr>
          <w:p w:rsidR="006A1593" w:rsidRPr="006A1593" w:rsidRDefault="006A1593" w:rsidP="00F7388B">
            <w:pPr>
              <w:spacing w:after="0" w:line="240" w:lineRule="auto"/>
              <w:rPr>
                <w:rFonts w:eastAsia="Times New Roman"/>
                <w:color w:val="000000"/>
                <w:lang w:val="en-US" w:eastAsia="it-IT"/>
              </w:rPr>
            </w:pPr>
          </w:p>
        </w:tc>
        <w:tc>
          <w:tcPr>
            <w:tcW w:w="1134" w:type="dxa"/>
            <w:tcBorders>
              <w:top w:val="nil"/>
              <w:left w:val="nil"/>
              <w:bottom w:val="single" w:sz="12" w:space="0" w:color="auto"/>
              <w:right w:val="nil"/>
            </w:tcBorders>
            <w:vAlign w:val="bottom"/>
          </w:tcPr>
          <w:p w:rsidR="006A1593" w:rsidRPr="006A1593" w:rsidRDefault="006A1593" w:rsidP="00F7388B">
            <w:pPr>
              <w:spacing w:after="0" w:line="240" w:lineRule="auto"/>
              <w:jc w:val="center"/>
              <w:rPr>
                <w:rFonts w:eastAsia="Times New Roman"/>
                <w:color w:val="000000"/>
                <w:lang w:val="en-US" w:eastAsia="it-IT"/>
              </w:rPr>
            </w:pPr>
          </w:p>
        </w:tc>
        <w:tc>
          <w:tcPr>
            <w:tcW w:w="1213" w:type="dxa"/>
            <w:tcBorders>
              <w:top w:val="nil"/>
              <w:left w:val="nil"/>
              <w:bottom w:val="single" w:sz="12" w:space="0" w:color="auto"/>
              <w:right w:val="nil"/>
            </w:tcBorders>
            <w:vAlign w:val="bottom"/>
          </w:tcPr>
          <w:p w:rsidR="006A1593" w:rsidRPr="006A1593" w:rsidRDefault="006A1593" w:rsidP="00F7388B">
            <w:pPr>
              <w:spacing w:after="0" w:line="240" w:lineRule="auto"/>
              <w:jc w:val="center"/>
              <w:rPr>
                <w:rFonts w:eastAsia="Times New Roman"/>
                <w:color w:val="000000"/>
                <w:lang w:val="en-US" w:eastAsia="it-IT"/>
              </w:rPr>
            </w:pPr>
          </w:p>
        </w:tc>
        <w:tc>
          <w:tcPr>
            <w:tcW w:w="961" w:type="dxa"/>
            <w:tcBorders>
              <w:top w:val="nil"/>
              <w:left w:val="nil"/>
              <w:bottom w:val="single" w:sz="12" w:space="0" w:color="auto"/>
              <w:right w:val="nil"/>
            </w:tcBorders>
            <w:vAlign w:val="bottom"/>
          </w:tcPr>
          <w:p w:rsidR="006A1593" w:rsidRPr="006A1593" w:rsidRDefault="006A1593" w:rsidP="00F7388B">
            <w:pPr>
              <w:spacing w:after="0" w:line="240" w:lineRule="auto"/>
              <w:jc w:val="center"/>
              <w:rPr>
                <w:rFonts w:eastAsia="Times New Roman"/>
                <w:color w:val="000000"/>
                <w:lang w:val="en-US" w:eastAsia="it-IT"/>
              </w:rPr>
            </w:pPr>
          </w:p>
        </w:tc>
        <w:tc>
          <w:tcPr>
            <w:tcW w:w="945" w:type="dxa"/>
            <w:tcBorders>
              <w:top w:val="nil"/>
              <w:left w:val="nil"/>
              <w:bottom w:val="single" w:sz="12" w:space="0" w:color="auto"/>
              <w:right w:val="nil"/>
            </w:tcBorders>
            <w:vAlign w:val="bottom"/>
          </w:tcPr>
          <w:p w:rsidR="006A1593" w:rsidRPr="006A1593" w:rsidRDefault="006A1593" w:rsidP="00F7388B">
            <w:pPr>
              <w:spacing w:after="0" w:line="240" w:lineRule="auto"/>
              <w:jc w:val="center"/>
              <w:rPr>
                <w:rFonts w:eastAsia="Times New Roman"/>
                <w:color w:val="000000"/>
                <w:lang w:val="en-US" w:eastAsia="it-IT"/>
              </w:rPr>
            </w:pPr>
          </w:p>
        </w:tc>
      </w:tr>
      <w:tr w:rsidR="006A1593" w:rsidRPr="006A1593" w:rsidTr="00F7388B">
        <w:trPr>
          <w:trHeight w:val="300"/>
        </w:trPr>
        <w:tc>
          <w:tcPr>
            <w:tcW w:w="2528" w:type="dxa"/>
            <w:tcBorders>
              <w:top w:val="single" w:sz="12" w:space="0" w:color="auto"/>
              <w:left w:val="single" w:sz="12" w:space="0" w:color="auto"/>
              <w:bottom w:val="single" w:sz="4" w:space="0" w:color="auto"/>
              <w:right w:val="single" w:sz="4" w:space="0" w:color="auto"/>
            </w:tcBorders>
            <w:shd w:val="clear" w:color="000000" w:fill="D8D8D8"/>
            <w:vAlign w:val="bottom"/>
          </w:tcPr>
          <w:p w:rsidR="006A1593" w:rsidRPr="006A1593" w:rsidRDefault="006A1593" w:rsidP="00F7388B">
            <w:pPr>
              <w:spacing w:after="0" w:line="240" w:lineRule="auto"/>
              <w:rPr>
                <w:rFonts w:eastAsia="Times New Roman"/>
                <w:b/>
                <w:bCs/>
                <w:color w:val="000000"/>
                <w:lang w:eastAsia="it-IT"/>
              </w:rPr>
            </w:pPr>
            <w:r w:rsidRPr="006A1593">
              <w:rPr>
                <w:rFonts w:eastAsia="Times New Roman"/>
                <w:b/>
                <w:bCs/>
                <w:color w:val="000000"/>
                <w:lang w:eastAsia="it-IT"/>
              </w:rPr>
              <w:t>NCCT marker</w:t>
            </w:r>
          </w:p>
        </w:tc>
        <w:tc>
          <w:tcPr>
            <w:tcW w:w="1847" w:type="dxa"/>
            <w:tcBorders>
              <w:top w:val="single" w:sz="12" w:space="0" w:color="auto"/>
              <w:left w:val="nil"/>
              <w:bottom w:val="single" w:sz="4" w:space="0" w:color="auto"/>
              <w:right w:val="single" w:sz="4" w:space="0" w:color="auto"/>
            </w:tcBorders>
            <w:shd w:val="clear" w:color="000000" w:fill="D8D8D8"/>
            <w:vAlign w:val="bottom"/>
          </w:tcPr>
          <w:p w:rsidR="006A1593" w:rsidRPr="006A1593" w:rsidRDefault="006A1593" w:rsidP="00F7388B">
            <w:pPr>
              <w:spacing w:after="0" w:line="240" w:lineRule="auto"/>
              <w:rPr>
                <w:rFonts w:eastAsia="Times New Roman"/>
                <w:b/>
                <w:bCs/>
                <w:color w:val="000000"/>
                <w:lang w:eastAsia="it-IT"/>
              </w:rPr>
            </w:pPr>
            <w:r w:rsidRPr="006A1593">
              <w:rPr>
                <w:rFonts w:eastAsia="Times New Roman"/>
                <w:b/>
                <w:bCs/>
                <w:color w:val="000000"/>
                <w:lang w:eastAsia="it-IT"/>
              </w:rPr>
              <w:t>Prevalence, n (%)</w:t>
            </w:r>
          </w:p>
        </w:tc>
        <w:tc>
          <w:tcPr>
            <w:tcW w:w="1925" w:type="dxa"/>
            <w:tcBorders>
              <w:top w:val="single" w:sz="12" w:space="0" w:color="auto"/>
              <w:left w:val="nil"/>
              <w:bottom w:val="single" w:sz="4" w:space="0" w:color="auto"/>
              <w:right w:val="single" w:sz="4" w:space="0" w:color="auto"/>
            </w:tcBorders>
            <w:shd w:val="clear" w:color="000000" w:fill="D8D8D8"/>
            <w:vAlign w:val="bottom"/>
          </w:tcPr>
          <w:p w:rsidR="006A1593" w:rsidRPr="006A1593" w:rsidRDefault="006A1593" w:rsidP="00F7388B">
            <w:pPr>
              <w:spacing w:after="0" w:line="240" w:lineRule="auto"/>
              <w:rPr>
                <w:rFonts w:eastAsia="Times New Roman"/>
                <w:b/>
                <w:bCs/>
                <w:color w:val="000000"/>
                <w:lang w:eastAsia="it-IT"/>
              </w:rPr>
            </w:pPr>
            <w:r w:rsidRPr="006A1593">
              <w:rPr>
                <w:rFonts w:eastAsia="Times New Roman"/>
                <w:b/>
                <w:bCs/>
                <w:color w:val="000000"/>
                <w:lang w:eastAsia="it-IT"/>
              </w:rPr>
              <w:t>ICH expansion</w:t>
            </w:r>
          </w:p>
        </w:tc>
        <w:tc>
          <w:tcPr>
            <w:tcW w:w="1134" w:type="dxa"/>
            <w:tcBorders>
              <w:top w:val="single" w:sz="12" w:space="0" w:color="auto"/>
              <w:left w:val="nil"/>
              <w:bottom w:val="single" w:sz="4" w:space="0" w:color="auto"/>
              <w:right w:val="single" w:sz="4" w:space="0" w:color="auto"/>
            </w:tcBorders>
            <w:shd w:val="clear" w:color="000000" w:fill="D8D8D8"/>
            <w:vAlign w:val="bottom"/>
          </w:tcPr>
          <w:p w:rsidR="006A1593" w:rsidRPr="006A1593" w:rsidRDefault="006A1593" w:rsidP="00F7388B">
            <w:pPr>
              <w:spacing w:after="0" w:line="240" w:lineRule="auto"/>
              <w:jc w:val="center"/>
              <w:rPr>
                <w:rFonts w:eastAsia="Times New Roman"/>
                <w:b/>
                <w:bCs/>
                <w:color w:val="000000"/>
                <w:lang w:eastAsia="it-IT"/>
              </w:rPr>
            </w:pPr>
            <w:r w:rsidRPr="006A1593">
              <w:rPr>
                <w:rFonts w:eastAsia="Times New Roman"/>
                <w:b/>
                <w:bCs/>
                <w:color w:val="000000"/>
                <w:lang w:eastAsia="it-IT"/>
              </w:rPr>
              <w:t>Sensitivity</w:t>
            </w:r>
          </w:p>
        </w:tc>
        <w:tc>
          <w:tcPr>
            <w:tcW w:w="1213" w:type="dxa"/>
            <w:tcBorders>
              <w:top w:val="single" w:sz="12" w:space="0" w:color="auto"/>
              <w:left w:val="nil"/>
              <w:bottom w:val="single" w:sz="4" w:space="0" w:color="auto"/>
              <w:right w:val="single" w:sz="4" w:space="0" w:color="auto"/>
            </w:tcBorders>
            <w:shd w:val="clear" w:color="000000" w:fill="D8D8D8"/>
            <w:vAlign w:val="bottom"/>
          </w:tcPr>
          <w:p w:rsidR="006A1593" w:rsidRPr="006A1593" w:rsidRDefault="006A1593" w:rsidP="00F7388B">
            <w:pPr>
              <w:spacing w:after="0" w:line="240" w:lineRule="auto"/>
              <w:jc w:val="center"/>
              <w:rPr>
                <w:rFonts w:eastAsia="Times New Roman"/>
                <w:b/>
                <w:bCs/>
                <w:color w:val="000000"/>
                <w:lang w:eastAsia="it-IT"/>
              </w:rPr>
            </w:pPr>
            <w:r w:rsidRPr="006A1593">
              <w:rPr>
                <w:rFonts w:eastAsia="Times New Roman"/>
                <w:b/>
                <w:bCs/>
                <w:color w:val="000000"/>
                <w:lang w:eastAsia="it-IT"/>
              </w:rPr>
              <w:t>Specificity</w:t>
            </w:r>
          </w:p>
        </w:tc>
        <w:tc>
          <w:tcPr>
            <w:tcW w:w="961" w:type="dxa"/>
            <w:tcBorders>
              <w:top w:val="single" w:sz="12" w:space="0" w:color="auto"/>
              <w:left w:val="nil"/>
              <w:bottom w:val="single" w:sz="4" w:space="0" w:color="auto"/>
              <w:right w:val="single" w:sz="4" w:space="0" w:color="auto"/>
            </w:tcBorders>
            <w:shd w:val="clear" w:color="000000" w:fill="D8D8D8"/>
            <w:vAlign w:val="bottom"/>
          </w:tcPr>
          <w:p w:rsidR="006A1593" w:rsidRPr="006A1593" w:rsidRDefault="006A1593" w:rsidP="00F7388B">
            <w:pPr>
              <w:spacing w:after="0" w:line="240" w:lineRule="auto"/>
              <w:jc w:val="center"/>
              <w:rPr>
                <w:rFonts w:eastAsia="Times New Roman"/>
                <w:b/>
                <w:bCs/>
                <w:color w:val="000000"/>
                <w:lang w:eastAsia="it-IT"/>
              </w:rPr>
            </w:pPr>
            <w:r w:rsidRPr="006A1593">
              <w:rPr>
                <w:rFonts w:eastAsia="Times New Roman"/>
                <w:b/>
                <w:bCs/>
                <w:color w:val="000000"/>
                <w:lang w:eastAsia="it-IT"/>
              </w:rPr>
              <w:t xml:space="preserve">PPV </w:t>
            </w:r>
          </w:p>
        </w:tc>
        <w:tc>
          <w:tcPr>
            <w:tcW w:w="945" w:type="dxa"/>
            <w:tcBorders>
              <w:top w:val="single" w:sz="12" w:space="0" w:color="auto"/>
              <w:left w:val="nil"/>
              <w:bottom w:val="single" w:sz="4" w:space="0" w:color="auto"/>
              <w:right w:val="single" w:sz="12" w:space="0" w:color="auto"/>
            </w:tcBorders>
            <w:shd w:val="clear" w:color="000000" w:fill="D8D8D8"/>
            <w:vAlign w:val="bottom"/>
          </w:tcPr>
          <w:p w:rsidR="006A1593" w:rsidRPr="006A1593" w:rsidRDefault="006A1593" w:rsidP="00F7388B">
            <w:pPr>
              <w:spacing w:after="0" w:line="240" w:lineRule="auto"/>
              <w:jc w:val="center"/>
              <w:rPr>
                <w:rFonts w:eastAsia="Times New Roman"/>
                <w:b/>
                <w:bCs/>
                <w:color w:val="000000"/>
                <w:lang w:eastAsia="it-IT"/>
              </w:rPr>
            </w:pPr>
            <w:r w:rsidRPr="006A1593">
              <w:rPr>
                <w:rFonts w:eastAsia="Times New Roman"/>
                <w:b/>
                <w:bCs/>
                <w:color w:val="000000"/>
                <w:lang w:eastAsia="it-IT"/>
              </w:rPr>
              <w:t>NPV</w:t>
            </w:r>
          </w:p>
        </w:tc>
      </w:tr>
      <w:tr w:rsidR="006A1593" w:rsidRPr="006A1593" w:rsidTr="00F7388B">
        <w:trPr>
          <w:trHeight w:val="300"/>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b/>
                <w:bCs/>
                <w:color w:val="000000"/>
                <w:lang w:eastAsia="it-IT"/>
              </w:rPr>
            </w:pPr>
            <w:r w:rsidRPr="006A1593">
              <w:rPr>
                <w:rFonts w:eastAsia="Times New Roman"/>
                <w:b/>
                <w:bCs/>
                <w:color w:val="000000"/>
                <w:lang w:eastAsia="it-IT"/>
              </w:rPr>
              <w:t>Hypodensities</w:t>
            </w:r>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w:t>
            </w:r>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 </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 </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 </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 </w:t>
            </w:r>
          </w:p>
        </w:tc>
      </w:tr>
      <w:tr w:rsidR="006A1593" w:rsidRPr="006A1593" w:rsidTr="00F7388B">
        <w:trPr>
          <w:trHeight w:val="300"/>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xml:space="preserve">   Boulouis et al 2016 </w:t>
            </w:r>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321/1029 (31)</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&gt;33% or &gt;6mL</w:t>
            </w:r>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0.62</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0.77</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0.40</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0.89</w:t>
            </w:r>
          </w:p>
        </w:tc>
      </w:tr>
      <w:tr w:rsidR="006A1593" w:rsidRPr="006A1593" w:rsidTr="00F7388B">
        <w:trPr>
          <w:trHeight w:val="300"/>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xml:space="preserve">   Morotti et al 2017</w:t>
            </w:r>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264/989 (27)</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&gt;33%</w:t>
            </w:r>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0.40</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0.78</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0.33</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0.83</w:t>
            </w:r>
          </w:p>
        </w:tc>
      </w:tr>
      <w:tr w:rsidR="006A1593" w:rsidRPr="006A1593" w:rsidTr="00F7388B">
        <w:trPr>
          <w:trHeight w:val="300"/>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b/>
                <w:bCs/>
                <w:color w:val="000000"/>
                <w:lang w:eastAsia="it-IT"/>
              </w:rPr>
            </w:pPr>
            <w:r w:rsidRPr="006A1593">
              <w:rPr>
                <w:rFonts w:eastAsia="Times New Roman"/>
                <w:b/>
                <w:bCs/>
                <w:color w:val="000000"/>
                <w:lang w:eastAsia="it-IT"/>
              </w:rPr>
              <w:t>Black Hole Sign</w:t>
            </w:r>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w:t>
            </w:r>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 </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 </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 </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 </w:t>
            </w:r>
          </w:p>
        </w:tc>
      </w:tr>
      <w:tr w:rsidR="006A1593" w:rsidRPr="006A1593" w:rsidTr="00F7388B">
        <w:trPr>
          <w:trHeight w:val="306"/>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xml:space="preserve">   </w:t>
            </w:r>
            <w:bookmarkStart w:id="0" w:name="OLE_LINK1"/>
            <w:bookmarkStart w:id="1" w:name="OLE_LINK2"/>
            <w:r w:rsidRPr="006A1593">
              <w:rPr>
                <w:rFonts w:eastAsia="Times New Roman"/>
                <w:color w:val="000000"/>
                <w:lang w:eastAsia="it-IT"/>
              </w:rPr>
              <w:t>Li et al 2017</w:t>
            </w:r>
            <w:bookmarkEnd w:id="0"/>
            <w:bookmarkEnd w:id="1"/>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38/228 (17)</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&gt;33% or &gt;12.5 mL</w:t>
            </w:r>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0.34</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0.90</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0.58</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0.77</w:t>
            </w:r>
          </w:p>
        </w:tc>
      </w:tr>
      <w:tr w:rsidR="006A1593" w:rsidRPr="006A1593" w:rsidTr="00F7388B">
        <w:trPr>
          <w:trHeight w:val="300"/>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xml:space="preserve">   Li et al 2015</w:t>
            </w:r>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30/206 (15)</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&gt;33% or &gt;12.5 mL</w:t>
            </w:r>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0.32</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0.94</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0.73</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0.73</w:t>
            </w:r>
          </w:p>
        </w:tc>
      </w:tr>
      <w:tr w:rsidR="006A1593" w:rsidRPr="006A1593" w:rsidTr="00F7388B">
        <w:trPr>
          <w:trHeight w:val="300"/>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xml:space="preserve">   Yu et al 2017</w:t>
            </w:r>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29/129 (23)</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&gt;33% or &gt;12.5 mL</w:t>
            </w:r>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0.44</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0.85</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0.48</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0.82</w:t>
            </w:r>
          </w:p>
        </w:tc>
      </w:tr>
      <w:tr w:rsidR="006A1593" w:rsidRPr="006A1593" w:rsidTr="00F7388B">
        <w:trPr>
          <w:trHeight w:val="300"/>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b/>
                <w:bCs/>
                <w:color w:val="000000"/>
                <w:lang w:eastAsia="it-IT"/>
              </w:rPr>
            </w:pPr>
            <w:r w:rsidRPr="006A1593">
              <w:rPr>
                <w:rFonts w:eastAsia="Times New Roman"/>
                <w:b/>
                <w:bCs/>
                <w:color w:val="000000"/>
                <w:lang w:eastAsia="it-IT"/>
              </w:rPr>
              <w:t>Swirl Sign</w:t>
            </w:r>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w:t>
            </w:r>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 </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 </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 </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 </w:t>
            </w:r>
          </w:p>
        </w:tc>
      </w:tr>
      <w:tr w:rsidR="006A1593" w:rsidRPr="006A1593" w:rsidTr="00F7388B">
        <w:trPr>
          <w:trHeight w:val="300"/>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xml:space="preserve">   Boulouis et al 2016</w:t>
            </w:r>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207/1029 (20)</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&gt;33% or &gt;6mL</w:t>
            </w:r>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0.62</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0.16</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0.16</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0.62</w:t>
            </w:r>
          </w:p>
        </w:tc>
      </w:tr>
      <w:tr w:rsidR="006A1593" w:rsidRPr="006A1593" w:rsidTr="00F7388B">
        <w:trPr>
          <w:trHeight w:val="300"/>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xml:space="preserve">   Morotti et al 2017</w:t>
            </w:r>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203/989 (21)</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&gt;33%</w:t>
            </w:r>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0.33</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0.83</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0.34</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0.82</w:t>
            </w:r>
          </w:p>
        </w:tc>
      </w:tr>
      <w:tr w:rsidR="006A1593" w:rsidRPr="006A1593" w:rsidTr="00F7388B">
        <w:trPr>
          <w:trHeight w:val="300"/>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xml:space="preserve">   Connor et al 2015</w:t>
            </w:r>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33/71 (46)</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&gt;33% or &gt;6mL</w:t>
            </w:r>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0.67</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0.62</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0.42</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0.82</w:t>
            </w:r>
          </w:p>
        </w:tc>
      </w:tr>
      <w:tr w:rsidR="006A1593" w:rsidRPr="006A1593" w:rsidTr="00F7388B">
        <w:trPr>
          <w:trHeight w:val="300"/>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b/>
                <w:bCs/>
                <w:color w:val="000000"/>
                <w:lang w:eastAsia="it-IT"/>
              </w:rPr>
            </w:pPr>
            <w:r w:rsidRPr="006A1593">
              <w:rPr>
                <w:rFonts w:eastAsia="Times New Roman"/>
                <w:b/>
                <w:bCs/>
                <w:color w:val="000000"/>
                <w:lang w:eastAsia="it-IT"/>
              </w:rPr>
              <w:t>Blend sign</w:t>
            </w:r>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w:t>
            </w:r>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 </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 </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 </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 </w:t>
            </w:r>
          </w:p>
        </w:tc>
      </w:tr>
      <w:tr w:rsidR="006A1593" w:rsidRPr="006A1593" w:rsidTr="00F7388B">
        <w:trPr>
          <w:trHeight w:val="300"/>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xml:space="preserve">   Boulouis et al 2016</w:t>
            </w:r>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141/1029 (14)</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&gt;33% or &gt;6mL</w:t>
            </w:r>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0.15</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0.87</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0.23</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0.80</w:t>
            </w:r>
          </w:p>
        </w:tc>
      </w:tr>
      <w:tr w:rsidR="006A1593" w:rsidRPr="006A1593" w:rsidTr="00F7388B">
        <w:trPr>
          <w:trHeight w:val="300"/>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xml:space="preserve">   Morotti et al 2017</w:t>
            </w:r>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86/989 (9)</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&gt;33%</w:t>
            </w:r>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0.13</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0.93</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0.33</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0.80</w:t>
            </w:r>
          </w:p>
        </w:tc>
      </w:tr>
      <w:tr w:rsidR="006A1593" w:rsidRPr="006A1593" w:rsidTr="00F7388B">
        <w:trPr>
          <w:trHeight w:val="300"/>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xml:space="preserve">   Li et al 2017</w:t>
            </w:r>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46/228 (20)</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&gt;33% or &gt;12.5 mL</w:t>
            </w:r>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0.43</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0.89</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0.61</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0.80</w:t>
            </w:r>
          </w:p>
        </w:tc>
      </w:tr>
      <w:tr w:rsidR="006A1593" w:rsidRPr="006A1593" w:rsidTr="00F7388B">
        <w:trPr>
          <w:trHeight w:val="300"/>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xml:space="preserve">   Li et al 2015</w:t>
            </w:r>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29 /172 (17)</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&gt;33% or &gt;12.5 mL</w:t>
            </w:r>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0.39</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0.96</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0.83</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0.74</w:t>
            </w:r>
          </w:p>
        </w:tc>
      </w:tr>
      <w:tr w:rsidR="006A1593" w:rsidRPr="006A1593" w:rsidTr="00F7388B">
        <w:trPr>
          <w:trHeight w:val="300"/>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xml:space="preserve">   Zheng et al 2016</w:t>
            </w:r>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22/115 (19)</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bookmarkStart w:id="2" w:name="OLE_LINK18"/>
            <w:bookmarkStart w:id="3" w:name="OLE_LINK19"/>
            <w:bookmarkStart w:id="4" w:name="OLE_LINK20"/>
            <w:r w:rsidRPr="006A1593">
              <w:rPr>
                <w:rFonts w:eastAsia="Times New Roman"/>
                <w:color w:val="000000"/>
                <w:lang w:eastAsia="it-IT"/>
              </w:rPr>
              <w:t>&gt;33% or &gt;12.5 mL</w:t>
            </w:r>
            <w:bookmarkEnd w:id="2"/>
            <w:bookmarkEnd w:id="3"/>
            <w:bookmarkEnd w:id="4"/>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0.43</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0.89</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0.55</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0.83</w:t>
            </w:r>
          </w:p>
        </w:tc>
      </w:tr>
      <w:tr w:rsidR="006A1593" w:rsidRPr="006A1593" w:rsidTr="00F7388B">
        <w:trPr>
          <w:trHeight w:val="300"/>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xml:space="preserve">   Wu et al 2017</w:t>
            </w:r>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13/63 (21)</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&gt;33%</w:t>
            </w:r>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0.39</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0.94</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0.85</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0.66</w:t>
            </w:r>
          </w:p>
        </w:tc>
      </w:tr>
      <w:tr w:rsidR="006A1593" w:rsidRPr="006A1593" w:rsidTr="00F7388B">
        <w:trPr>
          <w:trHeight w:val="300"/>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b/>
                <w:bCs/>
                <w:color w:val="000000"/>
                <w:lang w:eastAsia="it-IT"/>
              </w:rPr>
            </w:pPr>
            <w:r w:rsidRPr="006A1593">
              <w:rPr>
                <w:rFonts w:eastAsia="Times New Roman"/>
                <w:b/>
                <w:bCs/>
                <w:color w:val="000000"/>
                <w:lang w:eastAsia="it-IT"/>
              </w:rPr>
              <w:t xml:space="preserve">Irregular Shape </w:t>
            </w:r>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w:t>
            </w:r>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 </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 </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 </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 </w:t>
            </w:r>
          </w:p>
        </w:tc>
      </w:tr>
      <w:tr w:rsidR="006A1593" w:rsidRPr="006A1593" w:rsidTr="00F7388B">
        <w:trPr>
          <w:trHeight w:val="300"/>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val="en-US" w:eastAsia="it-IT"/>
              </w:rPr>
            </w:pPr>
            <w:r w:rsidRPr="006A1593">
              <w:rPr>
                <w:rFonts w:eastAsia="Times New Roman"/>
                <w:color w:val="000000"/>
                <w:lang w:val="en-US" w:eastAsia="it-IT"/>
              </w:rPr>
              <w:t xml:space="preserve">   </w:t>
            </w:r>
            <w:proofErr w:type="spellStart"/>
            <w:r w:rsidRPr="006A1593">
              <w:rPr>
                <w:rFonts w:eastAsia="Times New Roman"/>
                <w:color w:val="000000"/>
                <w:lang w:val="en-US" w:eastAsia="it-IT"/>
              </w:rPr>
              <w:t>Boulouis</w:t>
            </w:r>
            <w:proofErr w:type="spellEnd"/>
            <w:r w:rsidRPr="006A1593">
              <w:rPr>
                <w:rFonts w:eastAsia="Times New Roman"/>
                <w:color w:val="000000"/>
                <w:lang w:val="en-US" w:eastAsia="it-IT"/>
              </w:rPr>
              <w:t xml:space="preserve"> et al 2016 *</w:t>
            </w:r>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502/1029 (49)</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&gt;33% or &gt;6mL</w:t>
            </w:r>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0.66</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0.56</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0.28</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0.87</w:t>
            </w:r>
          </w:p>
        </w:tc>
      </w:tr>
      <w:tr w:rsidR="006A1593" w:rsidRPr="006A1593" w:rsidTr="00F7388B">
        <w:trPr>
          <w:trHeight w:val="300"/>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xml:space="preserve">   Morotti et al 2017 *</w:t>
            </w:r>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390/989 (39)</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&gt;33%</w:t>
            </w:r>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0.49</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0.64</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0.27</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0.82</w:t>
            </w:r>
          </w:p>
        </w:tc>
      </w:tr>
      <w:tr w:rsidR="006A1593" w:rsidRPr="006A1593" w:rsidTr="00F7388B">
        <w:trPr>
          <w:trHeight w:val="300"/>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xml:space="preserve">   Blacquiere et al. 2015 ** </w:t>
            </w:r>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178/311 (57)</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&gt;33% or &gt;6mL</w:t>
            </w:r>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0.69</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0.46</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0.35</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0.78</w:t>
            </w:r>
          </w:p>
        </w:tc>
      </w:tr>
      <w:tr w:rsidR="006A1593" w:rsidRPr="006A1593" w:rsidTr="00F7388B">
        <w:trPr>
          <w:trHeight w:val="300"/>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b/>
                <w:bCs/>
                <w:color w:val="000000"/>
                <w:lang w:eastAsia="it-IT"/>
              </w:rPr>
            </w:pPr>
            <w:r w:rsidRPr="006A1593">
              <w:rPr>
                <w:rFonts w:eastAsia="Times New Roman"/>
                <w:b/>
                <w:bCs/>
                <w:color w:val="000000"/>
                <w:lang w:eastAsia="it-IT"/>
              </w:rPr>
              <w:t xml:space="preserve">Heterogeneous Density </w:t>
            </w:r>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w:t>
            </w:r>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 </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 </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 </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 </w:t>
            </w:r>
          </w:p>
        </w:tc>
      </w:tr>
      <w:tr w:rsidR="006A1593" w:rsidRPr="006A1593" w:rsidTr="00F7388B">
        <w:trPr>
          <w:trHeight w:val="300"/>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val="en-US" w:eastAsia="it-IT"/>
              </w:rPr>
            </w:pPr>
            <w:r w:rsidRPr="006A1593">
              <w:rPr>
                <w:rFonts w:eastAsia="Times New Roman"/>
                <w:color w:val="000000"/>
                <w:lang w:val="en-US" w:eastAsia="it-IT"/>
              </w:rPr>
              <w:t xml:space="preserve">   </w:t>
            </w:r>
            <w:proofErr w:type="spellStart"/>
            <w:r w:rsidRPr="006A1593">
              <w:rPr>
                <w:rFonts w:eastAsia="Times New Roman"/>
                <w:color w:val="000000"/>
                <w:lang w:val="en-US" w:eastAsia="it-IT"/>
              </w:rPr>
              <w:t>Boulouis</w:t>
            </w:r>
            <w:proofErr w:type="spellEnd"/>
            <w:r w:rsidRPr="006A1593">
              <w:rPr>
                <w:rFonts w:eastAsia="Times New Roman"/>
                <w:color w:val="000000"/>
                <w:lang w:val="en-US" w:eastAsia="it-IT"/>
              </w:rPr>
              <w:t xml:space="preserve"> et al 2016 *</w:t>
            </w:r>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282/1029 (27)</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&gt;33% or &gt;6mL</w:t>
            </w:r>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0.50</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0.78</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0.37</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0.86</w:t>
            </w:r>
          </w:p>
        </w:tc>
      </w:tr>
      <w:tr w:rsidR="006A1593" w:rsidRPr="006A1593" w:rsidTr="00F7388B">
        <w:trPr>
          <w:trHeight w:val="300"/>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xml:space="preserve">   Morotti et al 2017 *</w:t>
            </w:r>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310/989 (31)</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&gt;33%</w:t>
            </w:r>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0.44</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0.72</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0.30</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0.83</w:t>
            </w:r>
          </w:p>
        </w:tc>
      </w:tr>
      <w:tr w:rsidR="006A1593" w:rsidRPr="006A1593" w:rsidTr="00F7388B">
        <w:trPr>
          <w:trHeight w:val="300"/>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xml:space="preserve">   Blacquiere et al. 2015 ** </w:t>
            </w:r>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100 /311 (32)</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&gt;33% or &gt;6mL</w:t>
            </w:r>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0.44</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0.72</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0.40</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0.76</w:t>
            </w:r>
          </w:p>
        </w:tc>
      </w:tr>
      <w:tr w:rsidR="006A1593" w:rsidRPr="006A1593" w:rsidTr="00F7388B">
        <w:trPr>
          <w:trHeight w:val="300"/>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xml:space="preserve">   Yu et al 2017  *</w:t>
            </w:r>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40/137 (29)</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&gt;33% or &gt;12.5 mL</w:t>
            </w:r>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0.56</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0.71</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0.40</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0.83</w:t>
            </w:r>
          </w:p>
        </w:tc>
      </w:tr>
      <w:tr w:rsidR="006A1593" w:rsidRPr="006A1593" w:rsidTr="00F7388B">
        <w:trPr>
          <w:trHeight w:val="300"/>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b/>
                <w:bCs/>
                <w:color w:val="000000"/>
                <w:lang w:eastAsia="it-IT"/>
              </w:rPr>
            </w:pPr>
            <w:r w:rsidRPr="006A1593">
              <w:rPr>
                <w:rFonts w:eastAsia="Times New Roman"/>
                <w:b/>
                <w:bCs/>
                <w:color w:val="000000"/>
                <w:lang w:eastAsia="it-IT"/>
              </w:rPr>
              <w:t>Fluid Level</w:t>
            </w:r>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w:t>
            </w:r>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 </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 </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 </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 </w:t>
            </w:r>
          </w:p>
        </w:tc>
      </w:tr>
      <w:tr w:rsidR="006A1593" w:rsidRPr="006A1593" w:rsidTr="00F7388B">
        <w:trPr>
          <w:trHeight w:val="300"/>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xml:space="preserve">   Blacquiere et al. 2015</w:t>
            </w:r>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22/311 (7)</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&gt;33% or &gt;6mL</w:t>
            </w:r>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0.15</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0.94</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0.50</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0.73</w:t>
            </w:r>
          </w:p>
        </w:tc>
      </w:tr>
      <w:tr w:rsidR="006A1593" w:rsidRPr="006A1593" w:rsidTr="00F7388B">
        <w:trPr>
          <w:trHeight w:val="300"/>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b/>
                <w:bCs/>
                <w:color w:val="000000"/>
                <w:lang w:eastAsia="it-IT"/>
              </w:rPr>
            </w:pPr>
            <w:r w:rsidRPr="006A1593">
              <w:rPr>
                <w:rFonts w:eastAsia="Times New Roman"/>
                <w:b/>
                <w:bCs/>
                <w:color w:val="000000"/>
                <w:lang w:eastAsia="it-IT"/>
              </w:rPr>
              <w:t>Satellite Sign</w:t>
            </w:r>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w:t>
            </w:r>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 </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 </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 </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 </w:t>
            </w:r>
          </w:p>
        </w:tc>
      </w:tr>
      <w:tr w:rsidR="006A1593" w:rsidRPr="006A1593" w:rsidTr="00F7388B">
        <w:trPr>
          <w:trHeight w:val="315"/>
        </w:trPr>
        <w:tc>
          <w:tcPr>
            <w:tcW w:w="2528" w:type="dxa"/>
            <w:tcBorders>
              <w:top w:val="single" w:sz="4" w:space="0" w:color="auto"/>
              <w:left w:val="single" w:sz="12" w:space="0" w:color="auto"/>
              <w:bottom w:val="single" w:sz="6"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bookmarkStart w:id="5" w:name="OLE_LINK9" w:colFirst="2" w:colLast="2"/>
            <w:bookmarkStart w:id="6" w:name="OLE_LINK10" w:colFirst="2" w:colLast="2"/>
            <w:bookmarkStart w:id="7" w:name="_Hlk526973870"/>
            <w:r w:rsidRPr="006A1593">
              <w:rPr>
                <w:rFonts w:eastAsia="Times New Roman"/>
                <w:color w:val="000000"/>
                <w:lang w:eastAsia="it-IT"/>
              </w:rPr>
              <w:t xml:space="preserve">   Yu et al 2017</w:t>
            </w:r>
          </w:p>
        </w:tc>
        <w:tc>
          <w:tcPr>
            <w:tcW w:w="1847" w:type="dxa"/>
            <w:tcBorders>
              <w:top w:val="single" w:sz="4" w:space="0" w:color="auto"/>
              <w:left w:val="nil"/>
              <w:bottom w:val="single" w:sz="6"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58/153 (39)</w:t>
            </w:r>
          </w:p>
        </w:tc>
        <w:tc>
          <w:tcPr>
            <w:tcW w:w="1925" w:type="dxa"/>
            <w:tcBorders>
              <w:top w:val="single" w:sz="4" w:space="0" w:color="auto"/>
              <w:left w:val="nil"/>
              <w:bottom w:val="single" w:sz="6"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&gt;33% or &gt;12.5 mL</w:t>
            </w:r>
          </w:p>
        </w:tc>
        <w:tc>
          <w:tcPr>
            <w:tcW w:w="1134" w:type="dxa"/>
            <w:tcBorders>
              <w:top w:val="single" w:sz="4" w:space="0" w:color="auto"/>
              <w:left w:val="nil"/>
              <w:bottom w:val="single" w:sz="6"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0.60</w:t>
            </w:r>
          </w:p>
        </w:tc>
        <w:tc>
          <w:tcPr>
            <w:tcW w:w="1213" w:type="dxa"/>
            <w:tcBorders>
              <w:top w:val="single" w:sz="4" w:space="0" w:color="auto"/>
              <w:left w:val="nil"/>
              <w:bottom w:val="single" w:sz="6"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0.69</w:t>
            </w:r>
          </w:p>
        </w:tc>
        <w:tc>
          <w:tcPr>
            <w:tcW w:w="961" w:type="dxa"/>
            <w:tcBorders>
              <w:top w:val="single" w:sz="4" w:space="0" w:color="auto"/>
              <w:left w:val="nil"/>
              <w:bottom w:val="single" w:sz="6"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0.38</w:t>
            </w:r>
          </w:p>
        </w:tc>
        <w:tc>
          <w:tcPr>
            <w:tcW w:w="945" w:type="dxa"/>
            <w:tcBorders>
              <w:top w:val="single" w:sz="4" w:space="0" w:color="auto"/>
              <w:left w:val="nil"/>
              <w:bottom w:val="single" w:sz="6"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0.84</w:t>
            </w:r>
          </w:p>
        </w:tc>
      </w:tr>
      <w:bookmarkEnd w:id="5"/>
      <w:bookmarkEnd w:id="6"/>
      <w:bookmarkEnd w:id="7"/>
      <w:tr w:rsidR="006A1593" w:rsidRPr="006A1593" w:rsidTr="00F7388B">
        <w:trPr>
          <w:trHeight w:val="315"/>
        </w:trPr>
        <w:tc>
          <w:tcPr>
            <w:tcW w:w="2528" w:type="dxa"/>
            <w:tcBorders>
              <w:top w:val="single" w:sz="6" w:space="0" w:color="auto"/>
              <w:left w:val="single" w:sz="12" w:space="0" w:color="auto"/>
              <w:bottom w:val="single" w:sz="6" w:space="0" w:color="auto"/>
              <w:right w:val="single" w:sz="4" w:space="0" w:color="auto"/>
            </w:tcBorders>
            <w:vAlign w:val="bottom"/>
          </w:tcPr>
          <w:p w:rsidR="006A1593" w:rsidRPr="006A1593" w:rsidRDefault="006A1593" w:rsidP="00F7388B">
            <w:pPr>
              <w:spacing w:after="0" w:line="240" w:lineRule="auto"/>
              <w:rPr>
                <w:rFonts w:eastAsia="Times New Roman"/>
                <w:b/>
                <w:color w:val="000000"/>
                <w:lang w:eastAsia="it-IT"/>
              </w:rPr>
            </w:pPr>
            <w:r w:rsidRPr="006A1593">
              <w:rPr>
                <w:rFonts w:eastAsia="Times New Roman"/>
                <w:b/>
                <w:color w:val="000000"/>
                <w:lang w:eastAsia="it-IT"/>
              </w:rPr>
              <w:t>Island Sign</w:t>
            </w:r>
          </w:p>
        </w:tc>
        <w:tc>
          <w:tcPr>
            <w:tcW w:w="1847" w:type="dxa"/>
            <w:tcBorders>
              <w:top w:val="single" w:sz="6" w:space="0" w:color="auto"/>
              <w:left w:val="nil"/>
              <w:bottom w:val="single" w:sz="6"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p>
        </w:tc>
        <w:tc>
          <w:tcPr>
            <w:tcW w:w="1925" w:type="dxa"/>
            <w:tcBorders>
              <w:top w:val="single" w:sz="6" w:space="0" w:color="auto"/>
              <w:left w:val="nil"/>
              <w:bottom w:val="single" w:sz="6"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p>
        </w:tc>
        <w:tc>
          <w:tcPr>
            <w:tcW w:w="1134" w:type="dxa"/>
            <w:tcBorders>
              <w:top w:val="single" w:sz="6" w:space="0" w:color="auto"/>
              <w:left w:val="nil"/>
              <w:bottom w:val="single" w:sz="6"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p>
        </w:tc>
        <w:tc>
          <w:tcPr>
            <w:tcW w:w="1213" w:type="dxa"/>
            <w:tcBorders>
              <w:top w:val="single" w:sz="6" w:space="0" w:color="auto"/>
              <w:left w:val="nil"/>
              <w:bottom w:val="single" w:sz="6"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p>
        </w:tc>
        <w:tc>
          <w:tcPr>
            <w:tcW w:w="961" w:type="dxa"/>
            <w:tcBorders>
              <w:top w:val="single" w:sz="6" w:space="0" w:color="auto"/>
              <w:left w:val="nil"/>
              <w:bottom w:val="single" w:sz="6"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p>
        </w:tc>
        <w:tc>
          <w:tcPr>
            <w:tcW w:w="945" w:type="dxa"/>
            <w:tcBorders>
              <w:top w:val="single" w:sz="6" w:space="0" w:color="auto"/>
              <w:left w:val="nil"/>
              <w:bottom w:val="single" w:sz="6"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p>
        </w:tc>
      </w:tr>
      <w:tr w:rsidR="006A1593" w:rsidRPr="006A1593" w:rsidTr="00F7388B">
        <w:trPr>
          <w:trHeight w:val="315"/>
        </w:trPr>
        <w:tc>
          <w:tcPr>
            <w:tcW w:w="2528" w:type="dxa"/>
            <w:tcBorders>
              <w:top w:val="single" w:sz="6"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xml:space="preserve">   Li et al 2017</w:t>
            </w:r>
          </w:p>
        </w:tc>
        <w:tc>
          <w:tcPr>
            <w:tcW w:w="1847" w:type="dxa"/>
            <w:tcBorders>
              <w:top w:val="single" w:sz="6"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41/252 (16)</w:t>
            </w:r>
          </w:p>
        </w:tc>
        <w:tc>
          <w:tcPr>
            <w:tcW w:w="1925" w:type="dxa"/>
            <w:tcBorders>
              <w:top w:val="single" w:sz="6"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&gt;33% or &gt;6 mL</w:t>
            </w:r>
          </w:p>
        </w:tc>
        <w:tc>
          <w:tcPr>
            <w:tcW w:w="1134" w:type="dxa"/>
            <w:tcBorders>
              <w:top w:val="single" w:sz="6"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0.45</w:t>
            </w:r>
          </w:p>
        </w:tc>
        <w:tc>
          <w:tcPr>
            <w:tcW w:w="1213" w:type="dxa"/>
            <w:tcBorders>
              <w:top w:val="single" w:sz="6"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0.98</w:t>
            </w:r>
          </w:p>
        </w:tc>
        <w:tc>
          <w:tcPr>
            <w:tcW w:w="961" w:type="dxa"/>
            <w:tcBorders>
              <w:top w:val="single" w:sz="6"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0.92</w:t>
            </w:r>
          </w:p>
        </w:tc>
        <w:tc>
          <w:tcPr>
            <w:tcW w:w="945" w:type="dxa"/>
            <w:tcBorders>
              <w:top w:val="single" w:sz="6"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0.77</w:t>
            </w:r>
          </w:p>
        </w:tc>
      </w:tr>
      <w:tr w:rsidR="006A1593" w:rsidRPr="006A1593" w:rsidTr="00F7388B">
        <w:trPr>
          <w:trHeight w:val="315"/>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xml:space="preserve">   Huang et al 2018</w:t>
            </w:r>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61/226 (23)</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bookmarkStart w:id="8" w:name="OLE_LINK11"/>
            <w:bookmarkStart w:id="9" w:name="OLE_LINK12"/>
            <w:bookmarkStart w:id="10" w:name="OLE_LINK13"/>
            <w:r w:rsidRPr="006A1593">
              <w:rPr>
                <w:rFonts w:eastAsia="Times New Roman"/>
                <w:color w:val="000000"/>
                <w:lang w:eastAsia="it-IT"/>
              </w:rPr>
              <w:t>&gt;33% or &gt;6 mL</w:t>
            </w:r>
            <w:bookmarkEnd w:id="8"/>
            <w:bookmarkEnd w:id="9"/>
            <w:bookmarkEnd w:id="10"/>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0.48</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0.92</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0.54</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0.68</w:t>
            </w:r>
          </w:p>
        </w:tc>
      </w:tr>
      <w:tr w:rsidR="006A1593" w:rsidRPr="006A1593" w:rsidTr="00F7388B">
        <w:trPr>
          <w:trHeight w:val="315"/>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xml:space="preserve">   Zheng et al 2018</w:t>
            </w:r>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33/165 (20)</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bookmarkStart w:id="11" w:name="OLE_LINK14"/>
            <w:bookmarkStart w:id="12" w:name="OLE_LINK15"/>
            <w:r w:rsidRPr="006A1593">
              <w:rPr>
                <w:rFonts w:eastAsia="Times New Roman"/>
                <w:color w:val="000000"/>
                <w:lang w:eastAsia="it-IT"/>
              </w:rPr>
              <w:t>&gt;33% or &gt;12.5 mL</w:t>
            </w:r>
            <w:bookmarkEnd w:id="11"/>
            <w:bookmarkEnd w:id="12"/>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0.46</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0.89</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0.58</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0.83</w:t>
            </w:r>
          </w:p>
        </w:tc>
      </w:tr>
      <w:tr w:rsidR="006A1593" w:rsidRPr="006A1593" w:rsidTr="00F7388B">
        <w:trPr>
          <w:trHeight w:val="307"/>
        </w:trPr>
        <w:tc>
          <w:tcPr>
            <w:tcW w:w="2528" w:type="dxa"/>
            <w:tcBorders>
              <w:top w:val="single" w:sz="4" w:space="0" w:color="auto"/>
              <w:left w:val="single" w:sz="12" w:space="0" w:color="auto"/>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xml:space="preserve">   Zhang et al 2018</w:t>
            </w:r>
          </w:p>
        </w:tc>
        <w:tc>
          <w:tcPr>
            <w:tcW w:w="1847"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81/322 (25)</w:t>
            </w:r>
          </w:p>
        </w:tc>
        <w:tc>
          <w:tcPr>
            <w:tcW w:w="1925"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&gt;33% or &gt;12.5 mL</w:t>
            </w:r>
          </w:p>
        </w:tc>
        <w:tc>
          <w:tcPr>
            <w:tcW w:w="1134"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0.45</w:t>
            </w:r>
          </w:p>
        </w:tc>
        <w:tc>
          <w:tcPr>
            <w:tcW w:w="1213"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0.88</w:t>
            </w:r>
          </w:p>
        </w:tc>
        <w:tc>
          <w:tcPr>
            <w:tcW w:w="961" w:type="dxa"/>
            <w:tcBorders>
              <w:top w:val="single" w:sz="4" w:space="0" w:color="auto"/>
              <w:left w:val="nil"/>
              <w:bottom w:val="single" w:sz="4"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0.70</w:t>
            </w:r>
          </w:p>
        </w:tc>
        <w:tc>
          <w:tcPr>
            <w:tcW w:w="945" w:type="dxa"/>
            <w:tcBorders>
              <w:top w:val="single" w:sz="4" w:space="0" w:color="auto"/>
              <w:left w:val="nil"/>
              <w:bottom w:val="single" w:sz="4"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0.71</w:t>
            </w:r>
          </w:p>
        </w:tc>
      </w:tr>
      <w:tr w:rsidR="006A1593" w:rsidRPr="006A1593" w:rsidTr="00F7388B">
        <w:trPr>
          <w:trHeight w:val="307"/>
        </w:trPr>
        <w:tc>
          <w:tcPr>
            <w:tcW w:w="2528" w:type="dxa"/>
            <w:tcBorders>
              <w:top w:val="single" w:sz="4" w:space="0" w:color="auto"/>
              <w:left w:val="single" w:sz="12" w:space="0" w:color="auto"/>
              <w:bottom w:val="single" w:sz="12"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 xml:space="preserve">   Zhang et al 2018</w:t>
            </w:r>
          </w:p>
        </w:tc>
        <w:tc>
          <w:tcPr>
            <w:tcW w:w="1847" w:type="dxa"/>
            <w:tcBorders>
              <w:top w:val="single" w:sz="4" w:space="0" w:color="auto"/>
              <w:left w:val="nil"/>
              <w:bottom w:val="single" w:sz="12"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r w:rsidRPr="006A1593">
              <w:rPr>
                <w:rFonts w:eastAsia="Times New Roman"/>
                <w:color w:val="000000"/>
                <w:lang w:eastAsia="it-IT"/>
              </w:rPr>
              <w:t>32/187 (17)</w:t>
            </w:r>
          </w:p>
        </w:tc>
        <w:tc>
          <w:tcPr>
            <w:tcW w:w="1925" w:type="dxa"/>
            <w:tcBorders>
              <w:top w:val="single" w:sz="4" w:space="0" w:color="auto"/>
              <w:left w:val="nil"/>
              <w:bottom w:val="single" w:sz="12" w:space="0" w:color="auto"/>
              <w:right w:val="single" w:sz="4" w:space="0" w:color="auto"/>
            </w:tcBorders>
            <w:vAlign w:val="bottom"/>
          </w:tcPr>
          <w:p w:rsidR="006A1593" w:rsidRPr="006A1593" w:rsidRDefault="006A1593" w:rsidP="00F7388B">
            <w:pPr>
              <w:spacing w:after="0" w:line="240" w:lineRule="auto"/>
              <w:rPr>
                <w:rFonts w:eastAsia="Times New Roman"/>
                <w:color w:val="000000"/>
                <w:lang w:eastAsia="it-IT"/>
              </w:rPr>
            </w:pPr>
            <w:bookmarkStart w:id="13" w:name="OLE_LINK16"/>
            <w:bookmarkStart w:id="14" w:name="OLE_LINK17"/>
            <w:r w:rsidRPr="006A1593">
              <w:rPr>
                <w:rFonts w:eastAsia="Times New Roman"/>
                <w:color w:val="000000"/>
                <w:lang w:eastAsia="it-IT"/>
              </w:rPr>
              <w:t>&gt;33% or &gt;12.5 mL</w:t>
            </w:r>
            <w:bookmarkEnd w:id="13"/>
            <w:bookmarkEnd w:id="14"/>
          </w:p>
        </w:tc>
        <w:tc>
          <w:tcPr>
            <w:tcW w:w="1134" w:type="dxa"/>
            <w:tcBorders>
              <w:top w:val="single" w:sz="4" w:space="0" w:color="auto"/>
              <w:left w:val="nil"/>
              <w:bottom w:val="single" w:sz="12"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0.49</w:t>
            </w:r>
          </w:p>
        </w:tc>
        <w:tc>
          <w:tcPr>
            <w:tcW w:w="1213" w:type="dxa"/>
            <w:tcBorders>
              <w:top w:val="single" w:sz="4" w:space="0" w:color="auto"/>
              <w:left w:val="nil"/>
              <w:bottom w:val="single" w:sz="12"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0.98</w:t>
            </w:r>
          </w:p>
        </w:tc>
        <w:tc>
          <w:tcPr>
            <w:tcW w:w="961" w:type="dxa"/>
            <w:tcBorders>
              <w:top w:val="single" w:sz="4" w:space="0" w:color="auto"/>
              <w:left w:val="nil"/>
              <w:bottom w:val="single" w:sz="12" w:space="0" w:color="auto"/>
              <w:right w:val="single" w:sz="4"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0.94</w:t>
            </w:r>
          </w:p>
        </w:tc>
        <w:tc>
          <w:tcPr>
            <w:tcW w:w="945" w:type="dxa"/>
            <w:tcBorders>
              <w:top w:val="single" w:sz="4" w:space="0" w:color="auto"/>
              <w:left w:val="nil"/>
              <w:bottom w:val="single" w:sz="12" w:space="0" w:color="auto"/>
              <w:right w:val="single" w:sz="12" w:space="0" w:color="auto"/>
            </w:tcBorders>
            <w:vAlign w:val="bottom"/>
          </w:tcPr>
          <w:p w:rsidR="006A1593" w:rsidRPr="006A1593" w:rsidRDefault="006A1593" w:rsidP="00F7388B">
            <w:pPr>
              <w:spacing w:after="0" w:line="240" w:lineRule="auto"/>
              <w:jc w:val="center"/>
              <w:rPr>
                <w:rFonts w:eastAsia="Times New Roman"/>
                <w:color w:val="000000"/>
                <w:lang w:eastAsia="it-IT"/>
              </w:rPr>
            </w:pPr>
            <w:r w:rsidRPr="006A1593">
              <w:rPr>
                <w:rFonts w:eastAsia="Times New Roman"/>
                <w:color w:val="000000"/>
                <w:lang w:eastAsia="it-IT"/>
              </w:rPr>
              <w:t>0.80</w:t>
            </w:r>
          </w:p>
        </w:tc>
      </w:tr>
    </w:tbl>
    <w:p w:rsidR="006A1593" w:rsidRPr="006A1593" w:rsidRDefault="006A1593" w:rsidP="006A1593">
      <w:pPr>
        <w:spacing w:before="120"/>
        <w:rPr>
          <w:sz w:val="24"/>
          <w:szCs w:val="24"/>
          <w:lang w:val="en-US"/>
        </w:rPr>
      </w:pPr>
      <w:r w:rsidRPr="006A1593">
        <w:rPr>
          <w:sz w:val="24"/>
          <w:szCs w:val="24"/>
          <w:lang w:val="en-US"/>
        </w:rPr>
        <w:t xml:space="preserve">ICH indicates intracerebral hemorrhage; NCCT, non-contrast CT; PPV positive predictive value; NPV, negative predictive value. * Barras Grade </w:t>
      </w:r>
      <w:r w:rsidRPr="006A1593">
        <w:rPr>
          <w:sz w:val="24"/>
          <w:szCs w:val="24"/>
          <w:u w:val="single"/>
          <w:lang w:val="en-US"/>
        </w:rPr>
        <w:t>&gt;</w:t>
      </w:r>
      <w:r w:rsidRPr="006A1593">
        <w:rPr>
          <w:sz w:val="24"/>
          <w:szCs w:val="24"/>
          <w:lang w:val="en-US"/>
        </w:rPr>
        <w:t xml:space="preserve"> III. ** Barras Grade </w:t>
      </w:r>
      <w:r w:rsidRPr="006A1593">
        <w:rPr>
          <w:sz w:val="24"/>
          <w:szCs w:val="24"/>
          <w:u w:val="single"/>
          <w:lang w:val="en-US"/>
        </w:rPr>
        <w:t>&gt;</w:t>
      </w:r>
      <w:r w:rsidRPr="006A1593">
        <w:rPr>
          <w:sz w:val="24"/>
          <w:szCs w:val="24"/>
          <w:lang w:val="en-US"/>
        </w:rPr>
        <w:t xml:space="preserve"> IV.</w:t>
      </w:r>
    </w:p>
    <w:p w:rsidR="006A1593" w:rsidRPr="006A1593" w:rsidRDefault="006A1593" w:rsidP="006A1593">
      <w:pPr>
        <w:rPr>
          <w:sz w:val="24"/>
          <w:szCs w:val="24"/>
          <w:lang w:val="en-US"/>
        </w:rPr>
      </w:pPr>
      <w:r w:rsidRPr="006A1593">
        <w:rPr>
          <w:b/>
          <w:sz w:val="24"/>
          <w:szCs w:val="24"/>
          <w:lang w:val="en-US"/>
        </w:rPr>
        <w:lastRenderedPageBreak/>
        <w:t>Table 3.</w:t>
      </w:r>
      <w:r w:rsidRPr="006A1593">
        <w:rPr>
          <w:sz w:val="24"/>
          <w:szCs w:val="24"/>
          <w:lang w:val="en-US"/>
        </w:rPr>
        <w:t xml:space="preserve"> Reporting Standards for Future Research Studies</w:t>
      </w:r>
    </w:p>
    <w:tbl>
      <w:tblPr>
        <w:tblW w:w="10173" w:type="dxa"/>
        <w:tblInd w:w="-3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73"/>
      </w:tblGrid>
      <w:tr w:rsidR="006A1593" w:rsidRPr="006A1593" w:rsidTr="00F7388B">
        <w:trPr>
          <w:trHeight w:hRule="exact" w:val="454"/>
        </w:trPr>
        <w:tc>
          <w:tcPr>
            <w:tcW w:w="10173" w:type="dxa"/>
            <w:shd w:val="pct10" w:color="auto" w:fill="auto"/>
            <w:vAlign w:val="bottom"/>
          </w:tcPr>
          <w:p w:rsidR="006A1593" w:rsidRPr="006A1593" w:rsidRDefault="006A1593" w:rsidP="00F7388B">
            <w:pPr>
              <w:spacing w:before="60" w:after="60"/>
              <w:contextualSpacing/>
              <w:rPr>
                <w:b/>
                <w:sz w:val="24"/>
                <w:szCs w:val="24"/>
                <w:lang w:val="en-US"/>
              </w:rPr>
            </w:pPr>
            <w:r w:rsidRPr="006A1593">
              <w:rPr>
                <w:b/>
                <w:sz w:val="24"/>
                <w:szCs w:val="24"/>
                <w:lang w:val="en-US"/>
              </w:rPr>
              <w:t>IDENTIFICATION OF NCCT MARKERS</w:t>
            </w:r>
          </w:p>
        </w:tc>
      </w:tr>
      <w:tr w:rsidR="006A1593" w:rsidRPr="006A1593" w:rsidTr="00F7388B">
        <w:tc>
          <w:tcPr>
            <w:tcW w:w="10173" w:type="dxa"/>
          </w:tcPr>
          <w:p w:rsidR="006A1593" w:rsidRPr="006A1593" w:rsidRDefault="006A1593" w:rsidP="00F7388B">
            <w:pPr>
              <w:pStyle w:val="-110"/>
              <w:spacing w:before="60" w:after="60" w:line="360" w:lineRule="auto"/>
              <w:ind w:left="0"/>
              <w:rPr>
                <w:rFonts w:ascii="Times New Roman" w:hAnsi="Times New Roman"/>
                <w:sz w:val="24"/>
                <w:szCs w:val="24"/>
                <w:lang w:val="en-US"/>
              </w:rPr>
            </w:pPr>
            <w:r w:rsidRPr="006A1593">
              <w:rPr>
                <w:rFonts w:ascii="Times New Roman" w:hAnsi="Times New Roman"/>
                <w:sz w:val="24"/>
                <w:szCs w:val="24"/>
                <w:lang w:val="en-US"/>
              </w:rPr>
              <w:t>Categorize the NCCT marker as being an ICH shape feature or an ICH density feature.</w:t>
            </w:r>
          </w:p>
        </w:tc>
      </w:tr>
      <w:tr w:rsidR="006A1593" w:rsidRPr="006A1593" w:rsidTr="00F7388B">
        <w:tc>
          <w:tcPr>
            <w:tcW w:w="10173" w:type="dxa"/>
          </w:tcPr>
          <w:p w:rsidR="006A1593" w:rsidRPr="006A1593" w:rsidRDefault="006A1593" w:rsidP="00F7388B">
            <w:pPr>
              <w:pStyle w:val="-110"/>
              <w:spacing w:before="60" w:after="60" w:line="360" w:lineRule="auto"/>
              <w:ind w:left="0"/>
              <w:rPr>
                <w:rFonts w:ascii="Times New Roman" w:hAnsi="Times New Roman"/>
                <w:sz w:val="24"/>
                <w:szCs w:val="24"/>
                <w:lang w:val="en-US"/>
              </w:rPr>
            </w:pPr>
            <w:r w:rsidRPr="006A1593">
              <w:rPr>
                <w:rFonts w:ascii="Times New Roman" w:hAnsi="Times New Roman"/>
                <w:sz w:val="24"/>
                <w:szCs w:val="24"/>
                <w:lang w:val="en-US"/>
              </w:rPr>
              <w:t>Provide a comparative analysis with existing literature.</w:t>
            </w:r>
          </w:p>
        </w:tc>
      </w:tr>
      <w:tr w:rsidR="006A1593" w:rsidRPr="006A1593" w:rsidTr="00F7388B">
        <w:tc>
          <w:tcPr>
            <w:tcW w:w="10173" w:type="dxa"/>
          </w:tcPr>
          <w:p w:rsidR="006A1593" w:rsidRPr="006A1593" w:rsidRDefault="006A1593" w:rsidP="00F7388B">
            <w:pPr>
              <w:pStyle w:val="-110"/>
              <w:spacing w:before="60" w:after="60" w:line="360" w:lineRule="auto"/>
              <w:ind w:left="0"/>
              <w:rPr>
                <w:rFonts w:ascii="Times New Roman" w:hAnsi="Times New Roman"/>
                <w:sz w:val="24"/>
                <w:szCs w:val="24"/>
                <w:lang w:val="en-US"/>
              </w:rPr>
            </w:pPr>
            <w:r w:rsidRPr="006A1593">
              <w:rPr>
                <w:rFonts w:ascii="Times New Roman" w:hAnsi="Times New Roman"/>
                <w:sz w:val="24"/>
                <w:szCs w:val="24"/>
                <w:lang w:val="en-US"/>
              </w:rPr>
              <w:t>Report the training duration and methodology of every rater</w:t>
            </w:r>
          </w:p>
        </w:tc>
      </w:tr>
      <w:tr w:rsidR="006A1593" w:rsidRPr="006A1593" w:rsidTr="00F7388B">
        <w:tc>
          <w:tcPr>
            <w:tcW w:w="10173" w:type="dxa"/>
          </w:tcPr>
          <w:p w:rsidR="006A1593" w:rsidRPr="006A1593" w:rsidRDefault="006A1593" w:rsidP="00F7388B">
            <w:pPr>
              <w:pStyle w:val="-110"/>
              <w:spacing w:before="60" w:after="60" w:line="360" w:lineRule="auto"/>
              <w:ind w:left="0"/>
              <w:rPr>
                <w:rFonts w:ascii="Times New Roman" w:hAnsi="Times New Roman"/>
                <w:sz w:val="24"/>
                <w:szCs w:val="24"/>
                <w:lang w:val="en-US"/>
              </w:rPr>
            </w:pPr>
            <w:r w:rsidRPr="006A1593">
              <w:rPr>
                <w:rFonts w:ascii="Times New Roman" w:hAnsi="Times New Roman"/>
                <w:sz w:val="24"/>
                <w:szCs w:val="24"/>
                <w:lang w:val="en-US"/>
              </w:rPr>
              <w:t xml:space="preserve">Clarify whether the raters were blinded to the outcome of interest. </w:t>
            </w:r>
          </w:p>
        </w:tc>
      </w:tr>
      <w:tr w:rsidR="006A1593" w:rsidRPr="006A1593" w:rsidTr="00F7388B">
        <w:tc>
          <w:tcPr>
            <w:tcW w:w="10173" w:type="dxa"/>
          </w:tcPr>
          <w:p w:rsidR="006A1593" w:rsidRPr="006A1593" w:rsidRDefault="006A1593" w:rsidP="00F7388B">
            <w:pPr>
              <w:pStyle w:val="-110"/>
              <w:spacing w:before="60" w:after="60" w:line="360" w:lineRule="auto"/>
              <w:ind w:left="0"/>
              <w:rPr>
                <w:rFonts w:ascii="Times New Roman" w:hAnsi="Times New Roman"/>
                <w:sz w:val="24"/>
                <w:szCs w:val="24"/>
                <w:lang w:val="en-US"/>
              </w:rPr>
            </w:pPr>
            <w:r w:rsidRPr="006A1593">
              <w:rPr>
                <w:rFonts w:ascii="Times New Roman" w:hAnsi="Times New Roman"/>
                <w:sz w:val="24"/>
                <w:szCs w:val="24"/>
                <w:lang w:val="en-US"/>
              </w:rPr>
              <w:t xml:space="preserve">In case of multiple </w:t>
            </w:r>
            <w:proofErr w:type="gramStart"/>
            <w:r w:rsidRPr="006A1593">
              <w:rPr>
                <w:rFonts w:ascii="Times New Roman" w:hAnsi="Times New Roman"/>
                <w:sz w:val="24"/>
                <w:szCs w:val="24"/>
                <w:lang w:val="en-US"/>
              </w:rPr>
              <w:t>raters</w:t>
            </w:r>
            <w:proofErr w:type="gramEnd"/>
            <w:r w:rsidRPr="006A1593">
              <w:rPr>
                <w:rFonts w:ascii="Times New Roman" w:hAnsi="Times New Roman"/>
                <w:sz w:val="24"/>
                <w:szCs w:val="24"/>
                <w:lang w:val="en-US"/>
              </w:rPr>
              <w:t xml:space="preserve"> measure and report the inter- and intra-rater reliability and clarify how disagreements in imaging analysis were adjudicated.</w:t>
            </w:r>
          </w:p>
        </w:tc>
      </w:tr>
      <w:tr w:rsidR="006A1593" w:rsidRPr="006A1593" w:rsidTr="00F7388B">
        <w:tc>
          <w:tcPr>
            <w:tcW w:w="10173" w:type="dxa"/>
          </w:tcPr>
          <w:p w:rsidR="006A1593" w:rsidRPr="006A1593" w:rsidRDefault="006A1593" w:rsidP="00F7388B">
            <w:pPr>
              <w:pStyle w:val="-110"/>
              <w:spacing w:before="60" w:after="60" w:line="360" w:lineRule="auto"/>
              <w:ind w:left="0"/>
              <w:rPr>
                <w:rFonts w:ascii="Times New Roman" w:hAnsi="Times New Roman"/>
                <w:sz w:val="24"/>
                <w:szCs w:val="24"/>
                <w:lang w:val="en-US"/>
              </w:rPr>
            </w:pPr>
            <w:r w:rsidRPr="006A1593">
              <w:rPr>
                <w:rFonts w:ascii="Times New Roman" w:hAnsi="Times New Roman"/>
                <w:sz w:val="24"/>
                <w:szCs w:val="24"/>
                <w:lang w:val="en-US"/>
              </w:rPr>
              <w:t>Provide details about the NCCT acquisition protocol.</w:t>
            </w:r>
          </w:p>
        </w:tc>
      </w:tr>
      <w:tr w:rsidR="006A1593" w:rsidRPr="006A1593" w:rsidTr="00F7388B">
        <w:trPr>
          <w:trHeight w:hRule="exact" w:val="454"/>
        </w:trPr>
        <w:tc>
          <w:tcPr>
            <w:tcW w:w="10173" w:type="dxa"/>
            <w:shd w:val="pct10" w:color="auto" w:fill="auto"/>
          </w:tcPr>
          <w:p w:rsidR="006A1593" w:rsidRPr="006A1593" w:rsidRDefault="006A1593" w:rsidP="00F7388B">
            <w:pPr>
              <w:spacing w:before="60" w:after="60"/>
              <w:contextualSpacing/>
              <w:rPr>
                <w:b/>
                <w:sz w:val="24"/>
                <w:szCs w:val="24"/>
                <w:lang w:val="en-US"/>
              </w:rPr>
            </w:pPr>
            <w:r w:rsidRPr="006A1593">
              <w:rPr>
                <w:b/>
                <w:sz w:val="24"/>
                <w:szCs w:val="24"/>
                <w:lang w:val="en-US"/>
              </w:rPr>
              <w:t>REPORTING AN ASSOCIATION WITH HEMATOMA EXPANSION</w:t>
            </w:r>
          </w:p>
        </w:tc>
      </w:tr>
      <w:tr w:rsidR="006A1593" w:rsidRPr="006A1593" w:rsidTr="00F7388B">
        <w:tc>
          <w:tcPr>
            <w:tcW w:w="10173" w:type="dxa"/>
          </w:tcPr>
          <w:p w:rsidR="006A1593" w:rsidRPr="006A1593" w:rsidRDefault="006A1593" w:rsidP="00F7388B">
            <w:pPr>
              <w:pStyle w:val="-110"/>
              <w:spacing w:before="60" w:after="60" w:line="360" w:lineRule="auto"/>
              <w:ind w:left="0"/>
              <w:rPr>
                <w:rFonts w:ascii="Times New Roman" w:hAnsi="Times New Roman"/>
                <w:sz w:val="24"/>
                <w:szCs w:val="24"/>
                <w:lang w:val="en-US"/>
              </w:rPr>
            </w:pPr>
            <w:r w:rsidRPr="006A1593">
              <w:rPr>
                <w:rFonts w:ascii="Times New Roman" w:hAnsi="Times New Roman"/>
                <w:sz w:val="24"/>
                <w:szCs w:val="24"/>
                <w:lang w:val="en-US"/>
              </w:rPr>
              <w:t>Measure ICH volume with a semi-automated planimetric method.</w:t>
            </w:r>
          </w:p>
        </w:tc>
      </w:tr>
      <w:tr w:rsidR="006A1593" w:rsidRPr="006A1593" w:rsidTr="00F7388B">
        <w:tc>
          <w:tcPr>
            <w:tcW w:w="10173" w:type="dxa"/>
          </w:tcPr>
          <w:p w:rsidR="006A1593" w:rsidRPr="006A1593" w:rsidRDefault="006A1593" w:rsidP="00F7388B">
            <w:pPr>
              <w:pStyle w:val="-110"/>
              <w:spacing w:before="60" w:after="60" w:line="360" w:lineRule="auto"/>
              <w:ind w:left="0"/>
              <w:rPr>
                <w:rFonts w:ascii="Times New Roman" w:hAnsi="Times New Roman"/>
                <w:sz w:val="24"/>
                <w:szCs w:val="24"/>
                <w:lang w:val="en-US"/>
              </w:rPr>
            </w:pPr>
            <w:r w:rsidRPr="006A1593">
              <w:rPr>
                <w:rFonts w:ascii="Times New Roman" w:hAnsi="Times New Roman"/>
                <w:sz w:val="24"/>
                <w:szCs w:val="24"/>
                <w:lang w:val="en-US"/>
              </w:rPr>
              <w:t xml:space="preserve">Calculate ICH volume growth as absolute and relative values compared with baseline volume. </w:t>
            </w:r>
          </w:p>
        </w:tc>
      </w:tr>
      <w:tr w:rsidR="006A1593" w:rsidRPr="006A1593" w:rsidTr="00F7388B">
        <w:tc>
          <w:tcPr>
            <w:tcW w:w="10173" w:type="dxa"/>
          </w:tcPr>
          <w:p w:rsidR="006A1593" w:rsidRPr="006A1593" w:rsidRDefault="006A1593" w:rsidP="00F7388B">
            <w:pPr>
              <w:pStyle w:val="-110"/>
              <w:spacing w:before="60" w:after="60" w:line="360" w:lineRule="auto"/>
              <w:ind w:left="0"/>
              <w:rPr>
                <w:rFonts w:ascii="Times New Roman" w:hAnsi="Times New Roman"/>
                <w:sz w:val="24"/>
                <w:szCs w:val="24"/>
                <w:lang w:val="en-US"/>
              </w:rPr>
            </w:pPr>
            <w:r w:rsidRPr="006A1593">
              <w:rPr>
                <w:rFonts w:ascii="Times New Roman" w:hAnsi="Times New Roman"/>
                <w:sz w:val="24"/>
                <w:szCs w:val="24"/>
                <w:lang w:val="en-US"/>
              </w:rPr>
              <w:t xml:space="preserve">Use the following thresholds for clinically relevant ICH growth: </w:t>
            </w:r>
            <w:r w:rsidRPr="006A1593">
              <w:rPr>
                <w:rFonts w:ascii="Times New Roman" w:hAnsi="Times New Roman"/>
                <w:sz w:val="24"/>
                <w:szCs w:val="24"/>
                <w:u w:val="single"/>
                <w:lang w:val="en-US"/>
              </w:rPr>
              <w:t>&gt;</w:t>
            </w:r>
            <w:r w:rsidRPr="006A1593">
              <w:rPr>
                <w:rFonts w:ascii="Times New Roman" w:hAnsi="Times New Roman"/>
                <w:sz w:val="24"/>
                <w:szCs w:val="24"/>
                <w:lang w:val="en-US"/>
              </w:rPr>
              <w:t xml:space="preserve"> 6 mL, </w:t>
            </w:r>
            <w:r w:rsidRPr="006A1593">
              <w:rPr>
                <w:rFonts w:ascii="Times New Roman" w:hAnsi="Times New Roman"/>
                <w:sz w:val="24"/>
                <w:szCs w:val="24"/>
                <w:u w:val="single"/>
                <w:lang w:val="en-US"/>
              </w:rPr>
              <w:t>&gt;</w:t>
            </w:r>
            <w:r w:rsidRPr="006A1593">
              <w:rPr>
                <w:rFonts w:ascii="Times New Roman" w:hAnsi="Times New Roman"/>
                <w:sz w:val="24"/>
                <w:szCs w:val="24"/>
                <w:lang w:val="en-US"/>
              </w:rPr>
              <w:t xml:space="preserve"> 12.5 mL and </w:t>
            </w:r>
            <w:r w:rsidRPr="006A1593">
              <w:rPr>
                <w:rFonts w:ascii="Times New Roman" w:hAnsi="Times New Roman"/>
                <w:sz w:val="24"/>
                <w:szCs w:val="24"/>
                <w:u w:val="single"/>
                <w:lang w:val="en-US"/>
              </w:rPr>
              <w:t>&gt;</w:t>
            </w:r>
            <w:r w:rsidRPr="006A1593">
              <w:rPr>
                <w:rFonts w:ascii="Times New Roman" w:hAnsi="Times New Roman"/>
                <w:sz w:val="24"/>
                <w:szCs w:val="24"/>
                <w:lang w:val="en-US"/>
              </w:rPr>
              <w:t xml:space="preserve"> 33%.</w:t>
            </w:r>
          </w:p>
        </w:tc>
      </w:tr>
      <w:tr w:rsidR="006A1593" w:rsidRPr="006A1593" w:rsidTr="00F7388B">
        <w:tc>
          <w:tcPr>
            <w:tcW w:w="10173" w:type="dxa"/>
          </w:tcPr>
          <w:p w:rsidR="006A1593" w:rsidRPr="006A1593" w:rsidRDefault="006A1593" w:rsidP="00F7388B">
            <w:pPr>
              <w:pStyle w:val="-110"/>
              <w:spacing w:before="60" w:after="60" w:line="360" w:lineRule="auto"/>
              <w:ind w:left="0"/>
              <w:rPr>
                <w:rFonts w:ascii="Times New Roman" w:hAnsi="Times New Roman"/>
                <w:sz w:val="24"/>
                <w:szCs w:val="24"/>
                <w:lang w:val="en-US"/>
              </w:rPr>
            </w:pPr>
            <w:r w:rsidRPr="006A1593">
              <w:rPr>
                <w:rFonts w:ascii="Times New Roman" w:hAnsi="Times New Roman"/>
                <w:sz w:val="24"/>
                <w:szCs w:val="24"/>
                <w:lang w:val="en-US"/>
              </w:rPr>
              <w:t xml:space="preserve">For a dichotomized definition of ICH expansion combine relative and absolute metrics: ICH. growth </w:t>
            </w:r>
            <w:r w:rsidRPr="006A1593">
              <w:rPr>
                <w:rFonts w:ascii="Times New Roman" w:hAnsi="Times New Roman"/>
                <w:sz w:val="24"/>
                <w:szCs w:val="24"/>
                <w:u w:val="single"/>
                <w:lang w:val="en-US"/>
              </w:rPr>
              <w:t>&gt;</w:t>
            </w:r>
            <w:r w:rsidRPr="006A1593">
              <w:rPr>
                <w:rFonts w:ascii="Times New Roman" w:hAnsi="Times New Roman"/>
                <w:sz w:val="24"/>
                <w:szCs w:val="24"/>
                <w:lang w:val="en-US"/>
              </w:rPr>
              <w:t xml:space="preserve"> 6 mL and/or </w:t>
            </w:r>
            <w:r w:rsidRPr="006A1593">
              <w:rPr>
                <w:rFonts w:ascii="Times New Roman" w:hAnsi="Times New Roman"/>
                <w:sz w:val="24"/>
                <w:szCs w:val="24"/>
                <w:u w:val="single"/>
                <w:lang w:val="en-US"/>
              </w:rPr>
              <w:t>&gt;</w:t>
            </w:r>
            <w:r w:rsidRPr="006A1593">
              <w:rPr>
                <w:rFonts w:ascii="Times New Roman" w:hAnsi="Times New Roman"/>
                <w:sz w:val="24"/>
                <w:szCs w:val="24"/>
                <w:lang w:val="en-US"/>
              </w:rPr>
              <w:t xml:space="preserve"> 33% / ICH growth </w:t>
            </w:r>
            <w:r w:rsidRPr="006A1593">
              <w:rPr>
                <w:rFonts w:ascii="Times New Roman" w:hAnsi="Times New Roman"/>
                <w:sz w:val="24"/>
                <w:szCs w:val="24"/>
                <w:u w:val="single"/>
                <w:lang w:val="en-US"/>
              </w:rPr>
              <w:t>&gt;</w:t>
            </w:r>
            <w:r w:rsidRPr="006A1593">
              <w:rPr>
                <w:rFonts w:ascii="Times New Roman" w:hAnsi="Times New Roman"/>
                <w:sz w:val="24"/>
                <w:szCs w:val="24"/>
                <w:lang w:val="en-US"/>
              </w:rPr>
              <w:t xml:space="preserve"> 12.5 mL and/or </w:t>
            </w:r>
            <w:r w:rsidRPr="006A1593">
              <w:rPr>
                <w:rFonts w:ascii="Times New Roman" w:hAnsi="Times New Roman"/>
                <w:sz w:val="24"/>
                <w:szCs w:val="24"/>
                <w:u w:val="single"/>
                <w:lang w:val="en-US"/>
              </w:rPr>
              <w:t>&gt;</w:t>
            </w:r>
            <w:r w:rsidRPr="006A1593">
              <w:rPr>
                <w:rFonts w:ascii="Times New Roman" w:hAnsi="Times New Roman"/>
                <w:sz w:val="24"/>
                <w:szCs w:val="24"/>
                <w:lang w:val="en-US"/>
              </w:rPr>
              <w:t xml:space="preserve"> 33%.</w:t>
            </w:r>
          </w:p>
        </w:tc>
      </w:tr>
      <w:tr w:rsidR="006A1593" w:rsidRPr="006A1593" w:rsidTr="00F7388B">
        <w:tc>
          <w:tcPr>
            <w:tcW w:w="10173" w:type="dxa"/>
          </w:tcPr>
          <w:p w:rsidR="006A1593" w:rsidRPr="006A1593" w:rsidRDefault="006A1593" w:rsidP="00F7388B">
            <w:pPr>
              <w:pStyle w:val="-110"/>
              <w:spacing w:before="60" w:after="60" w:line="360" w:lineRule="auto"/>
              <w:ind w:left="0"/>
              <w:rPr>
                <w:rFonts w:ascii="Times New Roman" w:hAnsi="Times New Roman"/>
                <w:sz w:val="24"/>
                <w:szCs w:val="24"/>
                <w:lang w:val="en-US"/>
              </w:rPr>
            </w:pPr>
            <w:r w:rsidRPr="006A1593">
              <w:rPr>
                <w:rFonts w:ascii="Times New Roman" w:hAnsi="Times New Roman"/>
                <w:sz w:val="24"/>
                <w:szCs w:val="24"/>
                <w:lang w:val="en-US"/>
              </w:rPr>
              <w:t xml:space="preserve">Select one definition of ICH expansion (absolute, relative or combined) as the primary outcome of interest and test other definitions in secondary analyses.  </w:t>
            </w:r>
          </w:p>
        </w:tc>
      </w:tr>
      <w:tr w:rsidR="006A1593" w:rsidRPr="006A1593" w:rsidTr="00F7388B">
        <w:tc>
          <w:tcPr>
            <w:tcW w:w="10173" w:type="dxa"/>
          </w:tcPr>
          <w:p w:rsidR="006A1593" w:rsidRPr="006A1593" w:rsidRDefault="006A1593" w:rsidP="00F7388B">
            <w:pPr>
              <w:pStyle w:val="-110"/>
              <w:spacing w:before="60" w:after="60" w:line="360" w:lineRule="auto"/>
              <w:ind w:left="0"/>
              <w:rPr>
                <w:rFonts w:ascii="Times New Roman" w:hAnsi="Times New Roman"/>
                <w:sz w:val="24"/>
                <w:szCs w:val="24"/>
                <w:lang w:val="en-US"/>
              </w:rPr>
            </w:pPr>
            <w:r w:rsidRPr="006A1593">
              <w:rPr>
                <w:rFonts w:ascii="Times New Roman" w:hAnsi="Times New Roman"/>
                <w:sz w:val="24"/>
                <w:szCs w:val="24"/>
                <w:lang w:val="en-US"/>
              </w:rPr>
              <w:t>Assess ICH expansion with a follow up scan at 24 to 72 h from symptom onset.</w:t>
            </w:r>
          </w:p>
        </w:tc>
      </w:tr>
      <w:tr w:rsidR="006A1593" w:rsidRPr="006A1593" w:rsidTr="00F7388B">
        <w:tc>
          <w:tcPr>
            <w:tcW w:w="10173" w:type="dxa"/>
          </w:tcPr>
          <w:p w:rsidR="006A1593" w:rsidRPr="006A1593" w:rsidRDefault="006A1593" w:rsidP="00F7388B">
            <w:pPr>
              <w:pStyle w:val="-110"/>
              <w:spacing w:before="60" w:after="60" w:line="360" w:lineRule="auto"/>
              <w:ind w:left="0"/>
              <w:rPr>
                <w:rFonts w:ascii="Times New Roman" w:hAnsi="Times New Roman"/>
                <w:sz w:val="24"/>
                <w:szCs w:val="24"/>
                <w:lang w:val="en-US"/>
              </w:rPr>
            </w:pPr>
            <w:r w:rsidRPr="006A1593">
              <w:rPr>
                <w:rFonts w:ascii="Times New Roman" w:hAnsi="Times New Roman"/>
                <w:sz w:val="24"/>
                <w:szCs w:val="24"/>
                <w:lang w:val="en-US"/>
              </w:rPr>
              <w:t>Measure also the extent of total intracranial hemorrhage growth (parenchymal + ventricular bleeding).</w:t>
            </w:r>
          </w:p>
        </w:tc>
      </w:tr>
      <w:tr w:rsidR="006A1593" w:rsidRPr="006A1593" w:rsidTr="00F7388B">
        <w:tc>
          <w:tcPr>
            <w:tcW w:w="10173" w:type="dxa"/>
          </w:tcPr>
          <w:p w:rsidR="006A1593" w:rsidRPr="006A1593" w:rsidRDefault="006A1593" w:rsidP="00F7388B">
            <w:pPr>
              <w:pStyle w:val="-110"/>
              <w:spacing w:before="60" w:after="60" w:line="360" w:lineRule="auto"/>
              <w:ind w:left="0"/>
              <w:rPr>
                <w:rFonts w:ascii="Times New Roman" w:hAnsi="Times New Roman"/>
                <w:strike/>
                <w:sz w:val="24"/>
                <w:szCs w:val="24"/>
                <w:lang w:val="en-US"/>
              </w:rPr>
            </w:pPr>
            <w:r w:rsidRPr="006A1593">
              <w:rPr>
                <w:rFonts w:ascii="Times New Roman" w:hAnsi="Times New Roman"/>
                <w:sz w:val="24"/>
                <w:szCs w:val="24"/>
                <w:lang w:val="en-US"/>
              </w:rPr>
              <w:t>Report the absolute increase of the parenchymal and ventricular components.</w:t>
            </w:r>
          </w:p>
        </w:tc>
      </w:tr>
    </w:tbl>
    <w:p w:rsidR="006A1593" w:rsidRPr="006A1593" w:rsidRDefault="006A1593" w:rsidP="006A1593">
      <w:pPr>
        <w:rPr>
          <w:sz w:val="24"/>
          <w:szCs w:val="24"/>
          <w:lang w:val="en-US"/>
        </w:rPr>
      </w:pPr>
    </w:p>
    <w:p w:rsidR="006A1593" w:rsidRPr="006A1593" w:rsidRDefault="006A1593" w:rsidP="006A1593">
      <w:pPr>
        <w:rPr>
          <w:sz w:val="24"/>
          <w:szCs w:val="24"/>
          <w:lang w:val="en-US"/>
        </w:rPr>
      </w:pPr>
      <w:r w:rsidRPr="006A1593">
        <w:rPr>
          <w:sz w:val="24"/>
          <w:szCs w:val="24"/>
          <w:lang w:val="en-US"/>
        </w:rPr>
        <w:t>NCCT indicates non-contrast computed tomography; ICH, intracerebral hemorrhage; IVH, intraventricular hemorrhage.</w:t>
      </w:r>
    </w:p>
    <w:p w:rsidR="006A1593" w:rsidRPr="006A1593" w:rsidRDefault="006A1593" w:rsidP="006A1593">
      <w:pPr>
        <w:rPr>
          <w:lang w:val="en-US"/>
        </w:rPr>
      </w:pPr>
    </w:p>
    <w:p w:rsidR="006A1593" w:rsidRPr="006A1593" w:rsidRDefault="006A1593" w:rsidP="006A1593">
      <w:pPr>
        <w:rPr>
          <w:lang w:val="en-US"/>
        </w:rPr>
      </w:pPr>
    </w:p>
    <w:p w:rsidR="006A1593" w:rsidRPr="006A1593" w:rsidRDefault="006A1593" w:rsidP="006A1593">
      <w:pPr>
        <w:rPr>
          <w:lang w:val="en-US"/>
        </w:rPr>
      </w:pPr>
    </w:p>
    <w:p w:rsidR="006A1593" w:rsidRPr="006A1593" w:rsidRDefault="006A1593" w:rsidP="006A1593">
      <w:pPr>
        <w:rPr>
          <w:sz w:val="24"/>
          <w:szCs w:val="24"/>
          <w:lang w:val="en-US"/>
        </w:rPr>
      </w:pPr>
      <w:r w:rsidRPr="006A1593">
        <w:rPr>
          <w:b/>
          <w:sz w:val="24"/>
          <w:szCs w:val="24"/>
          <w:lang w:val="en-US"/>
        </w:rPr>
        <w:lastRenderedPageBreak/>
        <w:t>Table 4.</w:t>
      </w:r>
      <w:r w:rsidRPr="006A1593">
        <w:rPr>
          <w:sz w:val="24"/>
          <w:szCs w:val="24"/>
          <w:lang w:val="en-US"/>
        </w:rPr>
        <w:t xml:space="preserve"> Priorities for Future Research</w:t>
      </w:r>
    </w:p>
    <w:tbl>
      <w:tblPr>
        <w:tblW w:w="0" w:type="auto"/>
        <w:tblInd w:w="-3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06"/>
      </w:tblGrid>
      <w:tr w:rsidR="006A1593" w:rsidRPr="006A1593" w:rsidTr="00F7388B">
        <w:tc>
          <w:tcPr>
            <w:tcW w:w="9606" w:type="dxa"/>
          </w:tcPr>
          <w:p w:rsidR="006A1593" w:rsidRPr="006A1593" w:rsidRDefault="006A1593" w:rsidP="00F7388B">
            <w:pPr>
              <w:pStyle w:val="-110"/>
              <w:spacing w:before="60" w:after="60" w:line="360" w:lineRule="auto"/>
              <w:ind w:left="0"/>
              <w:rPr>
                <w:rFonts w:ascii="Times New Roman" w:hAnsi="Times New Roman"/>
                <w:sz w:val="24"/>
                <w:szCs w:val="24"/>
                <w:lang w:val="en-US"/>
              </w:rPr>
            </w:pPr>
            <w:r w:rsidRPr="006A1593">
              <w:rPr>
                <w:rFonts w:ascii="Times New Roman" w:hAnsi="Times New Roman"/>
                <w:sz w:val="24"/>
                <w:szCs w:val="24"/>
                <w:lang w:val="en-US"/>
              </w:rPr>
              <w:t>Investigate whether NCCT markers can improve the discriminative ability of currently available prediction models.</w:t>
            </w:r>
          </w:p>
        </w:tc>
      </w:tr>
      <w:tr w:rsidR="006A1593" w:rsidRPr="006A1593" w:rsidTr="00F7388B">
        <w:tc>
          <w:tcPr>
            <w:tcW w:w="9606" w:type="dxa"/>
          </w:tcPr>
          <w:p w:rsidR="006A1593" w:rsidRPr="006A1593" w:rsidRDefault="006A1593" w:rsidP="00F7388B">
            <w:pPr>
              <w:pStyle w:val="-110"/>
              <w:spacing w:before="60" w:after="60" w:line="360" w:lineRule="auto"/>
              <w:ind w:left="0"/>
              <w:rPr>
                <w:rFonts w:ascii="Times New Roman" w:hAnsi="Times New Roman"/>
                <w:sz w:val="24"/>
                <w:szCs w:val="24"/>
                <w:lang w:val="en-US"/>
              </w:rPr>
            </w:pPr>
            <w:r w:rsidRPr="006A1593">
              <w:rPr>
                <w:rFonts w:ascii="Times New Roman" w:hAnsi="Times New Roman"/>
                <w:sz w:val="24"/>
                <w:szCs w:val="24"/>
                <w:lang w:val="en-US"/>
              </w:rPr>
              <w:t>Prospective validation of all NCCT markers and assessment of inter and intra-rater reliability.</w:t>
            </w:r>
          </w:p>
        </w:tc>
      </w:tr>
      <w:tr w:rsidR="006A1593" w:rsidRPr="006A1593" w:rsidTr="00F7388B">
        <w:tc>
          <w:tcPr>
            <w:tcW w:w="9606" w:type="dxa"/>
          </w:tcPr>
          <w:p w:rsidR="006A1593" w:rsidRPr="006A1593" w:rsidRDefault="006A1593" w:rsidP="00F7388B">
            <w:pPr>
              <w:pStyle w:val="-110"/>
              <w:spacing w:before="60" w:after="60" w:line="360" w:lineRule="auto"/>
              <w:ind w:left="0"/>
              <w:rPr>
                <w:rFonts w:ascii="Times New Roman" w:hAnsi="Times New Roman"/>
                <w:sz w:val="24"/>
                <w:szCs w:val="24"/>
                <w:lang w:val="en-US"/>
              </w:rPr>
            </w:pPr>
            <w:r w:rsidRPr="006A1593">
              <w:rPr>
                <w:rFonts w:ascii="Times New Roman" w:hAnsi="Times New Roman"/>
                <w:sz w:val="24"/>
                <w:szCs w:val="24"/>
                <w:lang w:val="en-US"/>
              </w:rPr>
              <w:t>Research into the pathophysiological mechanisms underlying NCCT markers</w:t>
            </w:r>
          </w:p>
        </w:tc>
      </w:tr>
      <w:tr w:rsidR="006A1593" w:rsidRPr="006A1593" w:rsidTr="00F7388B">
        <w:tc>
          <w:tcPr>
            <w:tcW w:w="9606" w:type="dxa"/>
          </w:tcPr>
          <w:p w:rsidR="006A1593" w:rsidRPr="006A1593" w:rsidRDefault="006A1593" w:rsidP="00F7388B">
            <w:pPr>
              <w:pStyle w:val="-110"/>
              <w:spacing w:before="60" w:after="60" w:line="360" w:lineRule="auto"/>
              <w:ind w:left="0"/>
              <w:rPr>
                <w:rFonts w:ascii="Times New Roman" w:hAnsi="Times New Roman"/>
                <w:sz w:val="24"/>
                <w:szCs w:val="24"/>
                <w:lang w:val="en-US"/>
              </w:rPr>
            </w:pPr>
            <w:r w:rsidRPr="006A1593">
              <w:rPr>
                <w:rFonts w:ascii="Times New Roman" w:hAnsi="Times New Roman"/>
                <w:sz w:val="24"/>
                <w:szCs w:val="24"/>
                <w:lang w:val="en-US"/>
              </w:rPr>
              <w:t xml:space="preserve">Compare the diagnostic performance of different NCCT markers. </w:t>
            </w:r>
          </w:p>
        </w:tc>
      </w:tr>
      <w:tr w:rsidR="006A1593" w:rsidRPr="006A1593" w:rsidTr="00F7388B">
        <w:tc>
          <w:tcPr>
            <w:tcW w:w="9606" w:type="dxa"/>
          </w:tcPr>
          <w:p w:rsidR="006A1593" w:rsidRPr="006A1593" w:rsidRDefault="006A1593" w:rsidP="00F7388B">
            <w:pPr>
              <w:spacing w:before="60" w:after="60"/>
              <w:rPr>
                <w:sz w:val="24"/>
                <w:szCs w:val="24"/>
                <w:lang w:val="en-US"/>
              </w:rPr>
            </w:pPr>
            <w:r w:rsidRPr="006A1593">
              <w:rPr>
                <w:sz w:val="24"/>
                <w:szCs w:val="24"/>
                <w:lang w:val="en-US"/>
              </w:rPr>
              <w:t>Compare NCCT markers with the both single phase CTA spot sign and temporal based early appearing and/or dynamic CTA spot signs.</w:t>
            </w:r>
          </w:p>
        </w:tc>
      </w:tr>
      <w:tr w:rsidR="006A1593" w:rsidRPr="006A1593" w:rsidTr="00F7388B">
        <w:tc>
          <w:tcPr>
            <w:tcW w:w="9606" w:type="dxa"/>
          </w:tcPr>
          <w:p w:rsidR="006A1593" w:rsidRPr="006A1593" w:rsidRDefault="006A1593" w:rsidP="00F7388B">
            <w:pPr>
              <w:pStyle w:val="-110"/>
              <w:spacing w:before="60" w:after="60" w:line="360" w:lineRule="auto"/>
              <w:ind w:left="0"/>
              <w:rPr>
                <w:rFonts w:ascii="Times New Roman" w:hAnsi="Times New Roman"/>
                <w:sz w:val="24"/>
                <w:szCs w:val="24"/>
                <w:lang w:val="en-US"/>
              </w:rPr>
            </w:pPr>
            <w:r w:rsidRPr="006A1593">
              <w:rPr>
                <w:rFonts w:ascii="Times New Roman" w:hAnsi="Times New Roman"/>
                <w:sz w:val="24"/>
                <w:szCs w:val="24"/>
                <w:lang w:val="en-US"/>
              </w:rPr>
              <w:t>Integrate different NCCT markers and CTA spot sign.</w:t>
            </w:r>
          </w:p>
        </w:tc>
      </w:tr>
      <w:tr w:rsidR="006A1593" w:rsidRPr="006A1593" w:rsidTr="00F7388B">
        <w:tc>
          <w:tcPr>
            <w:tcW w:w="9606" w:type="dxa"/>
          </w:tcPr>
          <w:p w:rsidR="006A1593" w:rsidRPr="006A1593" w:rsidRDefault="006A1593" w:rsidP="00F7388B">
            <w:pPr>
              <w:pStyle w:val="-110"/>
              <w:spacing w:before="60" w:after="60" w:line="360" w:lineRule="auto"/>
              <w:ind w:left="0"/>
              <w:rPr>
                <w:rFonts w:ascii="Times New Roman" w:hAnsi="Times New Roman"/>
                <w:sz w:val="24"/>
                <w:szCs w:val="24"/>
                <w:lang w:val="en-US"/>
              </w:rPr>
            </w:pPr>
            <w:r w:rsidRPr="006A1593">
              <w:rPr>
                <w:rFonts w:ascii="Times New Roman" w:hAnsi="Times New Roman"/>
                <w:sz w:val="24"/>
                <w:szCs w:val="24"/>
                <w:lang w:val="en-US"/>
              </w:rPr>
              <w:t xml:space="preserve">Measure the performance of NCCT markers using prediction statistics (model discrimination and calibration) and diagnostic accuracy statistics (sensitivity, specificity, positive and negative predictive values, positive and negative likelihood ratios). </w:t>
            </w:r>
          </w:p>
        </w:tc>
      </w:tr>
      <w:tr w:rsidR="006A1593" w:rsidRPr="006A1593" w:rsidTr="00F7388B">
        <w:tc>
          <w:tcPr>
            <w:tcW w:w="9606" w:type="dxa"/>
          </w:tcPr>
          <w:p w:rsidR="006A1593" w:rsidRPr="006A1593" w:rsidRDefault="006A1593" w:rsidP="00F7388B">
            <w:pPr>
              <w:pStyle w:val="-110"/>
              <w:spacing w:before="60" w:after="60" w:line="360" w:lineRule="auto"/>
              <w:ind w:left="0"/>
              <w:rPr>
                <w:rFonts w:ascii="Times New Roman" w:hAnsi="Times New Roman"/>
                <w:sz w:val="24"/>
                <w:szCs w:val="24"/>
                <w:lang w:val="en-US"/>
              </w:rPr>
            </w:pPr>
            <w:r w:rsidRPr="006A1593">
              <w:rPr>
                <w:rFonts w:ascii="Times New Roman" w:hAnsi="Times New Roman"/>
                <w:sz w:val="24"/>
                <w:szCs w:val="24"/>
                <w:lang w:val="en-US"/>
              </w:rPr>
              <w:t>Retrospective analysis of previous trials targeting ICH expansion, to investigate whether the presence of some NCCT markers identify those patients more likely to benefit.</w:t>
            </w:r>
          </w:p>
        </w:tc>
      </w:tr>
      <w:tr w:rsidR="006A1593" w:rsidRPr="006A1593" w:rsidTr="00F7388B">
        <w:tc>
          <w:tcPr>
            <w:tcW w:w="9606" w:type="dxa"/>
          </w:tcPr>
          <w:p w:rsidR="006A1593" w:rsidRPr="006A1593" w:rsidRDefault="006A1593" w:rsidP="00F7388B">
            <w:pPr>
              <w:pStyle w:val="-110"/>
              <w:spacing w:before="60" w:after="60" w:line="360" w:lineRule="auto"/>
              <w:ind w:left="0"/>
              <w:rPr>
                <w:rFonts w:ascii="Times New Roman" w:hAnsi="Times New Roman"/>
                <w:sz w:val="24"/>
                <w:szCs w:val="24"/>
                <w:lang w:val="en-US"/>
              </w:rPr>
            </w:pPr>
            <w:r w:rsidRPr="006A1593">
              <w:rPr>
                <w:rFonts w:ascii="Times New Roman" w:hAnsi="Times New Roman"/>
                <w:sz w:val="24"/>
                <w:szCs w:val="24"/>
                <w:lang w:val="en-US"/>
              </w:rPr>
              <w:t>Use NCCT markers to select patients for future clinical trials.</w:t>
            </w:r>
          </w:p>
        </w:tc>
      </w:tr>
      <w:tr w:rsidR="006A1593" w:rsidRPr="006A1593" w:rsidTr="00F7388B">
        <w:trPr>
          <w:trHeight w:hRule="exact" w:val="839"/>
        </w:trPr>
        <w:tc>
          <w:tcPr>
            <w:tcW w:w="9606" w:type="dxa"/>
          </w:tcPr>
          <w:p w:rsidR="006A1593" w:rsidRPr="006A1593" w:rsidRDefault="006A1593" w:rsidP="00F7388B">
            <w:pPr>
              <w:rPr>
                <w:lang w:val="en-US"/>
              </w:rPr>
            </w:pPr>
            <w:r w:rsidRPr="006A1593">
              <w:rPr>
                <w:sz w:val="24"/>
                <w:szCs w:val="24"/>
                <w:lang w:val="en-US"/>
              </w:rPr>
              <w:t>Development and validation of artificial intelligence and machine learning tools to predict expansion based on NCCT images.</w:t>
            </w:r>
          </w:p>
        </w:tc>
      </w:tr>
      <w:tr w:rsidR="006A1593" w:rsidRPr="006A1593" w:rsidTr="00F7388B">
        <w:tc>
          <w:tcPr>
            <w:tcW w:w="9606" w:type="dxa"/>
          </w:tcPr>
          <w:p w:rsidR="006A1593" w:rsidRPr="006A1593" w:rsidRDefault="006A1593" w:rsidP="00F7388B">
            <w:pPr>
              <w:pStyle w:val="-110"/>
              <w:spacing w:before="60" w:after="60" w:line="360" w:lineRule="auto"/>
              <w:ind w:left="0"/>
              <w:rPr>
                <w:rFonts w:ascii="Times New Roman" w:hAnsi="Times New Roman"/>
                <w:sz w:val="24"/>
                <w:szCs w:val="24"/>
                <w:lang w:val="en-US"/>
              </w:rPr>
            </w:pPr>
            <w:r w:rsidRPr="006A1593">
              <w:rPr>
                <w:rFonts w:ascii="Times New Roman" w:hAnsi="Times New Roman"/>
                <w:sz w:val="24"/>
                <w:szCs w:val="24"/>
                <w:lang w:val="en-US"/>
              </w:rPr>
              <w:t>Perform individual patient-data meta-analyses.</w:t>
            </w:r>
          </w:p>
        </w:tc>
      </w:tr>
      <w:tr w:rsidR="006A1593" w:rsidRPr="006A1593" w:rsidTr="00F7388B">
        <w:tc>
          <w:tcPr>
            <w:tcW w:w="9606" w:type="dxa"/>
          </w:tcPr>
          <w:p w:rsidR="006A1593" w:rsidRPr="006A1593" w:rsidRDefault="006A1593" w:rsidP="00F7388B">
            <w:pPr>
              <w:pStyle w:val="-110"/>
              <w:spacing w:before="60" w:after="60" w:line="360" w:lineRule="auto"/>
              <w:ind w:left="0"/>
              <w:rPr>
                <w:rFonts w:ascii="Times New Roman" w:hAnsi="Times New Roman"/>
                <w:sz w:val="24"/>
                <w:szCs w:val="24"/>
                <w:lang w:val="en-US"/>
              </w:rPr>
            </w:pPr>
            <w:r w:rsidRPr="006A1593">
              <w:rPr>
                <w:rFonts w:ascii="Times New Roman" w:hAnsi="Times New Roman"/>
                <w:sz w:val="24"/>
                <w:szCs w:val="24"/>
                <w:lang w:val="en-US"/>
              </w:rPr>
              <w:t>Periodic update of the NCCT markers consensus standards.</w:t>
            </w:r>
          </w:p>
        </w:tc>
      </w:tr>
    </w:tbl>
    <w:p w:rsidR="006A1593" w:rsidRPr="006A1593" w:rsidRDefault="006A1593" w:rsidP="006A1593">
      <w:pPr>
        <w:rPr>
          <w:lang w:val="en-US"/>
        </w:rPr>
      </w:pPr>
    </w:p>
    <w:p w:rsidR="006A1593" w:rsidRPr="00B04EFB" w:rsidRDefault="006A1593" w:rsidP="006A1593">
      <w:pPr>
        <w:rPr>
          <w:sz w:val="24"/>
          <w:szCs w:val="24"/>
          <w:lang w:val="en-US"/>
        </w:rPr>
      </w:pPr>
      <w:r w:rsidRPr="006A1593">
        <w:rPr>
          <w:sz w:val="24"/>
          <w:szCs w:val="24"/>
          <w:lang w:val="en-US"/>
        </w:rPr>
        <w:t>ICH indicates intracerebral hemorrhage; NCCT, non-contrast CT; CTA, CT angiography.</w:t>
      </w:r>
    </w:p>
    <w:p w:rsidR="00C941F7" w:rsidRDefault="00C941F7">
      <w:pPr>
        <w:spacing w:after="0" w:line="240" w:lineRule="auto"/>
        <w:rPr>
          <w:sz w:val="24"/>
          <w:szCs w:val="24"/>
          <w:lang w:val="en-US"/>
        </w:rPr>
      </w:pPr>
      <w:r>
        <w:rPr>
          <w:sz w:val="24"/>
          <w:szCs w:val="24"/>
          <w:lang w:val="en-US"/>
        </w:rPr>
        <w:br w:type="page"/>
      </w:r>
    </w:p>
    <w:p w:rsidR="00C941F7" w:rsidRDefault="00C941F7" w:rsidP="00C941F7">
      <w:pPr>
        <w:jc w:val="center"/>
        <w:rPr>
          <w:b/>
          <w:sz w:val="24"/>
          <w:szCs w:val="24"/>
          <w:lang w:val="en-US"/>
        </w:rPr>
      </w:pPr>
      <w:r w:rsidRPr="000F3D88">
        <w:rPr>
          <w:b/>
          <w:sz w:val="24"/>
          <w:szCs w:val="24"/>
          <w:lang w:val="en-US"/>
        </w:rPr>
        <w:lastRenderedPageBreak/>
        <w:t>Standards for Detecting, Interpreting and Reporting NCCT markers of ICH expansion</w:t>
      </w:r>
    </w:p>
    <w:p w:rsidR="00C941F7" w:rsidRDefault="00C941F7" w:rsidP="00C941F7">
      <w:pPr>
        <w:jc w:val="center"/>
        <w:rPr>
          <w:b/>
          <w:noProof/>
          <w:sz w:val="24"/>
          <w:szCs w:val="24"/>
          <w:u w:val="single"/>
          <w:lang w:val="en-US" w:eastAsia="it-IT"/>
        </w:rPr>
      </w:pPr>
    </w:p>
    <w:p w:rsidR="00C941F7" w:rsidRDefault="00C941F7" w:rsidP="00C941F7">
      <w:pPr>
        <w:jc w:val="center"/>
        <w:rPr>
          <w:b/>
          <w:noProof/>
          <w:sz w:val="24"/>
          <w:szCs w:val="24"/>
          <w:u w:val="single"/>
          <w:lang w:val="en-US" w:eastAsia="it-IT"/>
        </w:rPr>
      </w:pPr>
      <w:r w:rsidRPr="001A2F73">
        <w:rPr>
          <w:b/>
          <w:noProof/>
          <w:sz w:val="24"/>
          <w:szCs w:val="24"/>
          <w:u w:val="single"/>
          <w:lang w:val="en-US" w:eastAsia="it-IT"/>
        </w:rPr>
        <w:t>SUPPLEMENTAL MATERIAL</w:t>
      </w:r>
    </w:p>
    <w:p w:rsidR="00C941F7" w:rsidRDefault="00C941F7" w:rsidP="00C941F7">
      <w:pPr>
        <w:rPr>
          <w:b/>
          <w:noProof/>
          <w:sz w:val="20"/>
          <w:szCs w:val="20"/>
          <w:lang w:val="en-US" w:eastAsia="it-IT"/>
        </w:rPr>
      </w:pPr>
    </w:p>
    <w:p w:rsidR="00C941F7" w:rsidRPr="00AC3653" w:rsidRDefault="00C941F7" w:rsidP="00C941F7">
      <w:pPr>
        <w:rPr>
          <w:noProof/>
          <w:sz w:val="20"/>
          <w:szCs w:val="20"/>
          <w:lang w:val="en-US" w:eastAsia="it-IT"/>
        </w:rPr>
      </w:pPr>
      <w:r w:rsidRPr="00AC3653">
        <w:rPr>
          <w:b/>
          <w:noProof/>
          <w:sz w:val="20"/>
          <w:szCs w:val="20"/>
          <w:lang w:val="en-US" w:eastAsia="it-IT"/>
        </w:rPr>
        <w:t>Table 1.</w:t>
      </w:r>
      <w:r>
        <w:rPr>
          <w:b/>
          <w:noProof/>
          <w:sz w:val="20"/>
          <w:szCs w:val="20"/>
          <w:lang w:val="en-US" w:eastAsia="it-IT"/>
        </w:rPr>
        <w:t xml:space="preserve"> </w:t>
      </w:r>
      <w:r w:rsidRPr="00AC3653">
        <w:rPr>
          <w:noProof/>
          <w:sz w:val="20"/>
          <w:szCs w:val="20"/>
          <w:lang w:val="en-US" w:eastAsia="it-IT"/>
        </w:rPr>
        <w:t>Systematic appraisal of s</w:t>
      </w:r>
      <w:r>
        <w:rPr>
          <w:noProof/>
          <w:sz w:val="20"/>
          <w:szCs w:val="20"/>
          <w:lang w:val="en-US" w:eastAsia="it-IT"/>
        </w:rPr>
        <w:t>t</w:t>
      </w:r>
      <w:r w:rsidRPr="00AC3653">
        <w:rPr>
          <w:noProof/>
          <w:sz w:val="20"/>
          <w:szCs w:val="20"/>
          <w:lang w:val="en-US" w:eastAsia="it-IT"/>
        </w:rPr>
        <w:t>udy quality and risk of bias</w:t>
      </w:r>
      <w:r>
        <w:rPr>
          <w:noProof/>
          <w:sz w:val="20"/>
          <w:szCs w:val="20"/>
          <w:lang w:val="en-US" w:eastAsia="it-IT"/>
        </w:rPr>
        <w:t xml:space="preserve"> </w:t>
      </w:r>
      <w:r w:rsidRPr="002E5143">
        <w:rPr>
          <w:noProof/>
          <w:sz w:val="20"/>
          <w:szCs w:val="20"/>
          <w:vertAlign w:val="superscript"/>
          <w:lang w:val="en-US" w:eastAsia="it-IT"/>
        </w:rPr>
        <w:t>1</w:t>
      </w:r>
      <w:r w:rsidRPr="00AC3653">
        <w:rPr>
          <w:noProof/>
          <w:sz w:val="20"/>
          <w:szCs w:val="20"/>
          <w:lang w:val="en-US" w:eastAsia="it-IT"/>
        </w:rPr>
        <w:tab/>
      </w:r>
      <w:r w:rsidRPr="00AC3653">
        <w:rPr>
          <w:noProof/>
          <w:sz w:val="20"/>
          <w:szCs w:val="20"/>
          <w:lang w:val="en-US" w:eastAsia="it-IT"/>
        </w:rPr>
        <w:tab/>
      </w:r>
    </w:p>
    <w:tbl>
      <w:tblPr>
        <w:tblpPr w:leftFromText="180" w:rightFromText="180" w:vertAnchor="page" w:horzAnchor="margin" w:tblpY="4261"/>
        <w:tblW w:w="105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06"/>
        <w:gridCol w:w="382"/>
        <w:gridCol w:w="382"/>
        <w:gridCol w:w="382"/>
        <w:gridCol w:w="383"/>
        <w:gridCol w:w="383"/>
        <w:gridCol w:w="383"/>
        <w:gridCol w:w="383"/>
        <w:gridCol w:w="383"/>
        <w:gridCol w:w="383"/>
        <w:gridCol w:w="441"/>
        <w:gridCol w:w="441"/>
        <w:gridCol w:w="441"/>
        <w:gridCol w:w="441"/>
        <w:gridCol w:w="441"/>
        <w:gridCol w:w="441"/>
        <w:gridCol w:w="441"/>
        <w:gridCol w:w="441"/>
        <w:gridCol w:w="913"/>
      </w:tblGrid>
      <w:tr w:rsidR="00C941F7" w:rsidRPr="009401CC" w:rsidTr="00D10CED">
        <w:trPr>
          <w:trHeight w:val="284"/>
        </w:trPr>
        <w:tc>
          <w:tcPr>
            <w:tcW w:w="2706" w:type="dxa"/>
            <w:shd w:val="clear" w:color="000000" w:fill="D9D9D9"/>
            <w:noWrap/>
            <w:vAlign w:val="center"/>
            <w:hideMark/>
          </w:tcPr>
          <w:p w:rsidR="00C941F7" w:rsidRPr="009401CC" w:rsidRDefault="00C941F7" w:rsidP="00D10CED">
            <w:pPr>
              <w:spacing w:after="0"/>
              <w:rPr>
                <w:rFonts w:eastAsia="Times New Roman"/>
                <w:b/>
                <w:bCs/>
                <w:color w:val="000000"/>
                <w:sz w:val="20"/>
                <w:szCs w:val="20"/>
              </w:rPr>
            </w:pPr>
            <w:r w:rsidRPr="009401CC">
              <w:rPr>
                <w:rFonts w:eastAsia="Times New Roman"/>
                <w:b/>
                <w:bCs/>
                <w:color w:val="000000"/>
                <w:sz w:val="20"/>
                <w:szCs w:val="20"/>
              </w:rPr>
              <w:lastRenderedPageBreak/>
              <w:t>Study / Criterion</w:t>
            </w:r>
            <w:r>
              <w:rPr>
                <w:rFonts w:eastAsia="Times New Roman"/>
                <w:b/>
                <w:bCs/>
                <w:color w:val="000000"/>
                <w:sz w:val="20"/>
                <w:szCs w:val="20"/>
              </w:rPr>
              <w:t xml:space="preserve"> </w:t>
            </w:r>
          </w:p>
        </w:tc>
        <w:tc>
          <w:tcPr>
            <w:tcW w:w="382" w:type="dxa"/>
            <w:shd w:val="clear" w:color="000000" w:fill="D9D9D9"/>
            <w:noWrap/>
            <w:vAlign w:val="center"/>
            <w:hideMark/>
          </w:tcPr>
          <w:p w:rsidR="00C941F7" w:rsidRPr="009401CC" w:rsidRDefault="00C941F7" w:rsidP="00D10CED">
            <w:pPr>
              <w:spacing w:after="0"/>
              <w:rPr>
                <w:rFonts w:eastAsia="Times New Roman"/>
                <w:b/>
                <w:bCs/>
                <w:color w:val="000000"/>
                <w:sz w:val="20"/>
                <w:szCs w:val="20"/>
              </w:rPr>
            </w:pPr>
            <w:r w:rsidRPr="009401CC">
              <w:rPr>
                <w:rFonts w:eastAsia="Times New Roman"/>
                <w:b/>
                <w:bCs/>
                <w:color w:val="000000"/>
                <w:sz w:val="20"/>
                <w:szCs w:val="20"/>
              </w:rPr>
              <w:t>1</w:t>
            </w:r>
          </w:p>
        </w:tc>
        <w:tc>
          <w:tcPr>
            <w:tcW w:w="382" w:type="dxa"/>
            <w:shd w:val="clear" w:color="000000" w:fill="D9D9D9"/>
            <w:noWrap/>
            <w:vAlign w:val="center"/>
            <w:hideMark/>
          </w:tcPr>
          <w:p w:rsidR="00C941F7" w:rsidRPr="009401CC" w:rsidRDefault="00C941F7" w:rsidP="00D10CED">
            <w:pPr>
              <w:spacing w:after="0"/>
              <w:rPr>
                <w:rFonts w:eastAsia="Times New Roman"/>
                <w:b/>
                <w:bCs/>
                <w:color w:val="000000"/>
                <w:sz w:val="20"/>
                <w:szCs w:val="20"/>
              </w:rPr>
            </w:pPr>
            <w:r w:rsidRPr="009401CC">
              <w:rPr>
                <w:rFonts w:eastAsia="Times New Roman"/>
                <w:b/>
                <w:bCs/>
                <w:color w:val="000000"/>
                <w:sz w:val="20"/>
                <w:szCs w:val="20"/>
              </w:rPr>
              <w:t>2</w:t>
            </w:r>
          </w:p>
        </w:tc>
        <w:tc>
          <w:tcPr>
            <w:tcW w:w="382" w:type="dxa"/>
            <w:shd w:val="clear" w:color="000000" w:fill="D9D9D9"/>
            <w:noWrap/>
            <w:vAlign w:val="center"/>
            <w:hideMark/>
          </w:tcPr>
          <w:p w:rsidR="00C941F7" w:rsidRPr="009401CC" w:rsidRDefault="00C941F7" w:rsidP="00D10CED">
            <w:pPr>
              <w:spacing w:after="0"/>
              <w:rPr>
                <w:rFonts w:eastAsia="Times New Roman"/>
                <w:b/>
                <w:bCs/>
                <w:color w:val="000000"/>
                <w:sz w:val="20"/>
                <w:szCs w:val="20"/>
              </w:rPr>
            </w:pPr>
            <w:r w:rsidRPr="009401CC">
              <w:rPr>
                <w:rFonts w:eastAsia="Times New Roman"/>
                <w:b/>
                <w:bCs/>
                <w:color w:val="000000"/>
                <w:sz w:val="20"/>
                <w:szCs w:val="20"/>
              </w:rPr>
              <w:t>3</w:t>
            </w:r>
          </w:p>
        </w:tc>
        <w:tc>
          <w:tcPr>
            <w:tcW w:w="383" w:type="dxa"/>
            <w:shd w:val="clear" w:color="000000" w:fill="D9D9D9"/>
            <w:noWrap/>
            <w:vAlign w:val="center"/>
            <w:hideMark/>
          </w:tcPr>
          <w:p w:rsidR="00C941F7" w:rsidRPr="009401CC" w:rsidRDefault="00C941F7" w:rsidP="00D10CED">
            <w:pPr>
              <w:spacing w:after="0"/>
              <w:rPr>
                <w:rFonts w:eastAsia="Times New Roman"/>
                <w:b/>
                <w:bCs/>
                <w:color w:val="000000"/>
                <w:sz w:val="20"/>
                <w:szCs w:val="20"/>
              </w:rPr>
            </w:pPr>
            <w:r w:rsidRPr="009401CC">
              <w:rPr>
                <w:rFonts w:eastAsia="Times New Roman"/>
                <w:b/>
                <w:bCs/>
                <w:color w:val="000000"/>
                <w:sz w:val="20"/>
                <w:szCs w:val="20"/>
              </w:rPr>
              <w:t>4</w:t>
            </w:r>
          </w:p>
        </w:tc>
        <w:tc>
          <w:tcPr>
            <w:tcW w:w="383" w:type="dxa"/>
            <w:shd w:val="clear" w:color="000000" w:fill="D9D9D9"/>
            <w:noWrap/>
            <w:vAlign w:val="center"/>
            <w:hideMark/>
          </w:tcPr>
          <w:p w:rsidR="00C941F7" w:rsidRPr="009401CC" w:rsidRDefault="00C941F7" w:rsidP="00D10CED">
            <w:pPr>
              <w:spacing w:after="0"/>
              <w:rPr>
                <w:rFonts w:eastAsia="Times New Roman"/>
                <w:b/>
                <w:bCs/>
                <w:color w:val="000000"/>
                <w:sz w:val="20"/>
                <w:szCs w:val="20"/>
              </w:rPr>
            </w:pPr>
            <w:r w:rsidRPr="009401CC">
              <w:rPr>
                <w:rFonts w:eastAsia="Times New Roman"/>
                <w:b/>
                <w:bCs/>
                <w:color w:val="000000"/>
                <w:sz w:val="20"/>
                <w:szCs w:val="20"/>
              </w:rPr>
              <w:t>5</w:t>
            </w:r>
          </w:p>
        </w:tc>
        <w:tc>
          <w:tcPr>
            <w:tcW w:w="383" w:type="dxa"/>
            <w:shd w:val="clear" w:color="000000" w:fill="D9D9D9"/>
            <w:noWrap/>
            <w:vAlign w:val="center"/>
            <w:hideMark/>
          </w:tcPr>
          <w:p w:rsidR="00C941F7" w:rsidRPr="009401CC" w:rsidRDefault="00C941F7" w:rsidP="00D10CED">
            <w:pPr>
              <w:spacing w:after="0"/>
              <w:rPr>
                <w:rFonts w:eastAsia="Times New Roman"/>
                <w:b/>
                <w:bCs/>
                <w:color w:val="000000"/>
                <w:sz w:val="20"/>
                <w:szCs w:val="20"/>
              </w:rPr>
            </w:pPr>
            <w:r w:rsidRPr="009401CC">
              <w:rPr>
                <w:rFonts w:eastAsia="Times New Roman"/>
                <w:b/>
                <w:bCs/>
                <w:color w:val="000000"/>
                <w:sz w:val="20"/>
                <w:szCs w:val="20"/>
              </w:rPr>
              <w:t>6</w:t>
            </w:r>
          </w:p>
        </w:tc>
        <w:tc>
          <w:tcPr>
            <w:tcW w:w="383" w:type="dxa"/>
            <w:shd w:val="clear" w:color="000000" w:fill="D9D9D9"/>
            <w:noWrap/>
            <w:vAlign w:val="center"/>
            <w:hideMark/>
          </w:tcPr>
          <w:p w:rsidR="00C941F7" w:rsidRPr="009401CC" w:rsidRDefault="00C941F7" w:rsidP="00D10CED">
            <w:pPr>
              <w:spacing w:after="0"/>
              <w:rPr>
                <w:rFonts w:eastAsia="Times New Roman"/>
                <w:b/>
                <w:bCs/>
                <w:color w:val="000000"/>
                <w:sz w:val="20"/>
                <w:szCs w:val="20"/>
              </w:rPr>
            </w:pPr>
            <w:r w:rsidRPr="009401CC">
              <w:rPr>
                <w:rFonts w:eastAsia="Times New Roman"/>
                <w:b/>
                <w:bCs/>
                <w:color w:val="000000"/>
                <w:sz w:val="20"/>
                <w:szCs w:val="20"/>
              </w:rPr>
              <w:t>7</w:t>
            </w:r>
          </w:p>
        </w:tc>
        <w:tc>
          <w:tcPr>
            <w:tcW w:w="383" w:type="dxa"/>
            <w:shd w:val="clear" w:color="000000" w:fill="D9D9D9"/>
            <w:noWrap/>
            <w:vAlign w:val="center"/>
            <w:hideMark/>
          </w:tcPr>
          <w:p w:rsidR="00C941F7" w:rsidRPr="009401CC" w:rsidRDefault="00C941F7" w:rsidP="00D10CED">
            <w:pPr>
              <w:spacing w:after="0"/>
              <w:rPr>
                <w:rFonts w:eastAsia="Times New Roman"/>
                <w:b/>
                <w:bCs/>
                <w:color w:val="000000"/>
                <w:sz w:val="20"/>
                <w:szCs w:val="20"/>
              </w:rPr>
            </w:pPr>
            <w:r w:rsidRPr="009401CC">
              <w:rPr>
                <w:rFonts w:eastAsia="Times New Roman"/>
                <w:b/>
                <w:bCs/>
                <w:color w:val="000000"/>
                <w:sz w:val="20"/>
                <w:szCs w:val="20"/>
              </w:rPr>
              <w:t>8</w:t>
            </w:r>
          </w:p>
        </w:tc>
        <w:tc>
          <w:tcPr>
            <w:tcW w:w="383" w:type="dxa"/>
            <w:shd w:val="clear" w:color="000000" w:fill="D9D9D9"/>
            <w:noWrap/>
            <w:vAlign w:val="center"/>
            <w:hideMark/>
          </w:tcPr>
          <w:p w:rsidR="00C941F7" w:rsidRPr="009401CC" w:rsidRDefault="00C941F7" w:rsidP="00D10CED">
            <w:pPr>
              <w:spacing w:after="0"/>
              <w:rPr>
                <w:rFonts w:eastAsia="Times New Roman"/>
                <w:b/>
                <w:bCs/>
                <w:color w:val="000000"/>
                <w:sz w:val="20"/>
                <w:szCs w:val="20"/>
              </w:rPr>
            </w:pPr>
            <w:r w:rsidRPr="009401CC">
              <w:rPr>
                <w:rFonts w:eastAsia="Times New Roman"/>
                <w:b/>
                <w:bCs/>
                <w:color w:val="000000"/>
                <w:sz w:val="20"/>
                <w:szCs w:val="20"/>
              </w:rPr>
              <w:t>9</w:t>
            </w:r>
          </w:p>
        </w:tc>
        <w:tc>
          <w:tcPr>
            <w:tcW w:w="441" w:type="dxa"/>
            <w:shd w:val="clear" w:color="000000" w:fill="D9D9D9"/>
            <w:noWrap/>
            <w:vAlign w:val="center"/>
            <w:hideMark/>
          </w:tcPr>
          <w:p w:rsidR="00C941F7" w:rsidRPr="009401CC" w:rsidRDefault="00C941F7" w:rsidP="00D10CED">
            <w:pPr>
              <w:spacing w:after="0"/>
              <w:rPr>
                <w:rFonts w:eastAsia="Times New Roman"/>
                <w:b/>
                <w:bCs/>
                <w:color w:val="000000"/>
                <w:sz w:val="20"/>
                <w:szCs w:val="20"/>
              </w:rPr>
            </w:pPr>
            <w:r w:rsidRPr="009401CC">
              <w:rPr>
                <w:rFonts w:eastAsia="Times New Roman"/>
                <w:b/>
                <w:bCs/>
                <w:color w:val="000000"/>
                <w:sz w:val="20"/>
                <w:szCs w:val="20"/>
              </w:rPr>
              <w:t>10</w:t>
            </w:r>
          </w:p>
        </w:tc>
        <w:tc>
          <w:tcPr>
            <w:tcW w:w="441" w:type="dxa"/>
            <w:shd w:val="clear" w:color="000000" w:fill="D9D9D9"/>
            <w:noWrap/>
            <w:vAlign w:val="center"/>
            <w:hideMark/>
          </w:tcPr>
          <w:p w:rsidR="00C941F7" w:rsidRPr="009401CC" w:rsidRDefault="00C941F7" w:rsidP="00D10CED">
            <w:pPr>
              <w:spacing w:after="0"/>
              <w:rPr>
                <w:rFonts w:eastAsia="Times New Roman"/>
                <w:b/>
                <w:bCs/>
                <w:color w:val="000000"/>
                <w:sz w:val="20"/>
                <w:szCs w:val="20"/>
              </w:rPr>
            </w:pPr>
            <w:r w:rsidRPr="009401CC">
              <w:rPr>
                <w:rFonts w:eastAsia="Times New Roman"/>
                <w:b/>
                <w:bCs/>
                <w:color w:val="000000"/>
                <w:sz w:val="20"/>
                <w:szCs w:val="20"/>
              </w:rPr>
              <w:t>11</w:t>
            </w:r>
          </w:p>
        </w:tc>
        <w:tc>
          <w:tcPr>
            <w:tcW w:w="441" w:type="dxa"/>
            <w:shd w:val="clear" w:color="000000" w:fill="D9D9D9"/>
            <w:noWrap/>
            <w:vAlign w:val="center"/>
            <w:hideMark/>
          </w:tcPr>
          <w:p w:rsidR="00C941F7" w:rsidRPr="009401CC" w:rsidRDefault="00C941F7" w:rsidP="00D10CED">
            <w:pPr>
              <w:spacing w:after="0"/>
              <w:rPr>
                <w:rFonts w:eastAsia="Times New Roman"/>
                <w:b/>
                <w:bCs/>
                <w:color w:val="000000"/>
                <w:sz w:val="20"/>
                <w:szCs w:val="20"/>
              </w:rPr>
            </w:pPr>
            <w:r w:rsidRPr="009401CC">
              <w:rPr>
                <w:rFonts w:eastAsia="Times New Roman"/>
                <w:b/>
                <w:bCs/>
                <w:color w:val="000000"/>
                <w:sz w:val="20"/>
                <w:szCs w:val="20"/>
              </w:rPr>
              <w:t>12</w:t>
            </w:r>
          </w:p>
        </w:tc>
        <w:tc>
          <w:tcPr>
            <w:tcW w:w="441" w:type="dxa"/>
            <w:shd w:val="clear" w:color="000000" w:fill="D9D9D9"/>
            <w:noWrap/>
            <w:vAlign w:val="center"/>
            <w:hideMark/>
          </w:tcPr>
          <w:p w:rsidR="00C941F7" w:rsidRPr="009401CC" w:rsidRDefault="00C941F7" w:rsidP="00D10CED">
            <w:pPr>
              <w:spacing w:after="0"/>
              <w:rPr>
                <w:rFonts w:eastAsia="Times New Roman"/>
                <w:b/>
                <w:bCs/>
                <w:color w:val="000000"/>
                <w:sz w:val="20"/>
                <w:szCs w:val="20"/>
              </w:rPr>
            </w:pPr>
            <w:r w:rsidRPr="009401CC">
              <w:rPr>
                <w:rFonts w:eastAsia="Times New Roman"/>
                <w:b/>
                <w:bCs/>
                <w:color w:val="000000"/>
                <w:sz w:val="20"/>
                <w:szCs w:val="20"/>
              </w:rPr>
              <w:t>13</w:t>
            </w:r>
          </w:p>
        </w:tc>
        <w:tc>
          <w:tcPr>
            <w:tcW w:w="441" w:type="dxa"/>
            <w:shd w:val="clear" w:color="000000" w:fill="D9D9D9"/>
            <w:noWrap/>
            <w:vAlign w:val="center"/>
            <w:hideMark/>
          </w:tcPr>
          <w:p w:rsidR="00C941F7" w:rsidRPr="009401CC" w:rsidRDefault="00C941F7" w:rsidP="00D10CED">
            <w:pPr>
              <w:spacing w:after="0"/>
              <w:rPr>
                <w:rFonts w:eastAsia="Times New Roman"/>
                <w:b/>
                <w:bCs/>
                <w:color w:val="000000"/>
                <w:sz w:val="20"/>
                <w:szCs w:val="20"/>
              </w:rPr>
            </w:pPr>
            <w:r w:rsidRPr="009401CC">
              <w:rPr>
                <w:rFonts w:eastAsia="Times New Roman"/>
                <w:b/>
                <w:bCs/>
                <w:color w:val="000000"/>
                <w:sz w:val="20"/>
                <w:szCs w:val="20"/>
              </w:rPr>
              <w:t>14</w:t>
            </w:r>
          </w:p>
        </w:tc>
        <w:tc>
          <w:tcPr>
            <w:tcW w:w="441" w:type="dxa"/>
            <w:shd w:val="clear" w:color="000000" w:fill="D9D9D9"/>
            <w:noWrap/>
            <w:vAlign w:val="center"/>
            <w:hideMark/>
          </w:tcPr>
          <w:p w:rsidR="00C941F7" w:rsidRPr="009401CC" w:rsidRDefault="00C941F7" w:rsidP="00D10CED">
            <w:pPr>
              <w:spacing w:after="0"/>
              <w:rPr>
                <w:rFonts w:eastAsia="Times New Roman"/>
                <w:b/>
                <w:bCs/>
                <w:color w:val="000000"/>
                <w:sz w:val="20"/>
                <w:szCs w:val="20"/>
              </w:rPr>
            </w:pPr>
            <w:r w:rsidRPr="009401CC">
              <w:rPr>
                <w:rFonts w:eastAsia="Times New Roman"/>
                <w:b/>
                <w:bCs/>
                <w:color w:val="000000"/>
                <w:sz w:val="20"/>
                <w:szCs w:val="20"/>
              </w:rPr>
              <w:t>15</w:t>
            </w:r>
          </w:p>
        </w:tc>
        <w:tc>
          <w:tcPr>
            <w:tcW w:w="441" w:type="dxa"/>
            <w:shd w:val="clear" w:color="000000" w:fill="D9D9D9"/>
            <w:noWrap/>
            <w:vAlign w:val="center"/>
            <w:hideMark/>
          </w:tcPr>
          <w:p w:rsidR="00C941F7" w:rsidRPr="009401CC" w:rsidRDefault="00C941F7" w:rsidP="00D10CED">
            <w:pPr>
              <w:spacing w:after="0"/>
              <w:rPr>
                <w:rFonts w:eastAsia="Times New Roman"/>
                <w:b/>
                <w:bCs/>
                <w:color w:val="000000"/>
                <w:sz w:val="20"/>
                <w:szCs w:val="20"/>
              </w:rPr>
            </w:pPr>
            <w:r w:rsidRPr="009401CC">
              <w:rPr>
                <w:rFonts w:eastAsia="Times New Roman"/>
                <w:b/>
                <w:bCs/>
                <w:color w:val="000000"/>
                <w:sz w:val="20"/>
                <w:szCs w:val="20"/>
              </w:rPr>
              <w:t>16</w:t>
            </w:r>
          </w:p>
        </w:tc>
        <w:tc>
          <w:tcPr>
            <w:tcW w:w="441" w:type="dxa"/>
            <w:shd w:val="clear" w:color="000000" w:fill="D9D9D9"/>
            <w:noWrap/>
            <w:vAlign w:val="center"/>
            <w:hideMark/>
          </w:tcPr>
          <w:p w:rsidR="00C941F7" w:rsidRPr="009401CC" w:rsidRDefault="00C941F7" w:rsidP="00D10CED">
            <w:pPr>
              <w:spacing w:after="0"/>
              <w:rPr>
                <w:rFonts w:eastAsia="Times New Roman"/>
                <w:b/>
                <w:bCs/>
                <w:color w:val="000000"/>
                <w:sz w:val="20"/>
                <w:szCs w:val="20"/>
              </w:rPr>
            </w:pPr>
            <w:r w:rsidRPr="009401CC">
              <w:rPr>
                <w:rFonts w:eastAsia="Times New Roman"/>
                <w:b/>
                <w:bCs/>
                <w:color w:val="000000"/>
                <w:sz w:val="20"/>
                <w:szCs w:val="20"/>
              </w:rPr>
              <w:t>17</w:t>
            </w:r>
          </w:p>
        </w:tc>
        <w:tc>
          <w:tcPr>
            <w:tcW w:w="913" w:type="dxa"/>
            <w:shd w:val="clear" w:color="000000" w:fill="D9D9D9"/>
            <w:noWrap/>
            <w:vAlign w:val="center"/>
            <w:hideMark/>
          </w:tcPr>
          <w:p w:rsidR="00C941F7" w:rsidRPr="009401CC" w:rsidRDefault="00C941F7" w:rsidP="00D10CED">
            <w:pPr>
              <w:spacing w:after="0"/>
              <w:rPr>
                <w:rFonts w:eastAsia="Times New Roman"/>
                <w:b/>
                <w:bCs/>
                <w:color w:val="000000"/>
                <w:sz w:val="20"/>
                <w:szCs w:val="20"/>
              </w:rPr>
            </w:pPr>
            <w:r w:rsidRPr="009401CC">
              <w:rPr>
                <w:rFonts w:eastAsia="Times New Roman"/>
                <w:b/>
                <w:bCs/>
                <w:color w:val="000000"/>
                <w:sz w:val="20"/>
                <w:szCs w:val="20"/>
              </w:rPr>
              <w:t xml:space="preserve">Overall </w:t>
            </w:r>
          </w:p>
        </w:tc>
      </w:tr>
      <w:tr w:rsidR="00C941F7" w:rsidRPr="009401CC" w:rsidTr="00D10CED">
        <w:trPr>
          <w:trHeight w:val="284"/>
        </w:trPr>
        <w:tc>
          <w:tcPr>
            <w:tcW w:w="2706"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 xml:space="preserve">Kim et al. 2008 </w:t>
            </w:r>
            <w:r w:rsidRPr="009401CC">
              <w:rPr>
                <w:rFonts w:eastAsia="Times New Roman"/>
                <w:color w:val="000000"/>
                <w:sz w:val="20"/>
                <w:szCs w:val="20"/>
              </w:rPr>
              <w:fldChar w:fldCharType="begin" w:fldLock="1"/>
            </w:r>
            <w:r>
              <w:rPr>
                <w:rFonts w:eastAsia="Times New Roman"/>
                <w:color w:val="000000"/>
                <w:sz w:val="20"/>
                <w:szCs w:val="20"/>
              </w:rPr>
              <w:instrText>ADDIN CSL_CITATION {"citationItems":[{"id":"ITEM-1","itemData":{"DOI":"10.3174/ajnr.A0859","ISBN":"1936-959X (Electronic)\\r0195-6108 (Linking)","ISSN":"01956108","PMID":"18065505","abstract":"BACKGROUND AND PURPOSE: Recent studies of intracerebral hemorrhage (ICH) treatments have highlighted the need to identify reliable predictors of hematoma expansion. The goal of this study was to determine whether contrast extravasation on multisection CT angiography (CTA) and/or contrast-enhanced CT (CECT) of the brain is associated with hematoma expansion and increased mortality in patients with primary ICH. MATERIALS AND METHODS: All patients with primary ICH who underwent CTA and CECT, as well as follow-up noncontrast CT (NCCT) before discharge/death from January 1, 2003, to September 30, 2005, were retrospectively identified. One neuroradiologist reviewed admission and follow-up NCCT for hematoma size and growth. A second neuroradiologist independently reviewed CTA and CECT for active contrast extravasation. Univariate and multivariate logistic regression analyses were performed to evaluate the significance of clinical and radiologic variables in predicting 30-day mortality, designated as the primary outcome. Hematoma growth was considered as a secondary outcome. RESULTS: Of 56 patients, contrast extravasation was seen in 17.9% of patients on initial CTA and in 23.2% of patients on initial CECT following CTA. Univariate analysis showed that the presence of extravasation on CT, large initial hematoma size (&gt;30 mL), the presence of \"swirl sign\" on NCCT, the Glasgow Coma Scale and ICH scores, and international normalized ratio were associated with increased mortality. On multivariate analysis, only contrast extravasation on CT (P = .017) independently predicted mortality. Contrast extravasation on CT (P &lt; .001) was also an independent predictor of hematoma growth on multivariate analysis. CONCLUSION: Active contrast extravasation on CT in patients with primary ICH independently predicts mortality and hematoma growth.","author":[{"dropping-particle":"","family":"Kim","given":"J.","non-dropping-particle":"","parse-names":false,"suffix":""},{"dropping-particle":"","family":"Smith","given":"a.","non-dropping-particle":"","parse-names":false,"suffix":""},{"dropping-particle":"","family":"Hemphill","given":"J. C.","non-dropping-particle":"","parse-names":false,"suffix":""},{"dropping-particle":"","family":"Smith","given":"W. S.","non-dropping-particle":"","parse-names":false,"suffix":""},{"dropping-particle":"","family":"Lu","given":"Y.","non-dropping-particle":"","parse-names":false,"suffix":""},{"dropping-particle":"","family":"Dillon","given":"W. P.","non-dropping-particle":"","parse-names":false,"suffix":""},{"dropping-particle":"","family":"Wintermark","given":"Max","non-dropping-particle":"","parse-names":false,"suffix":""}],"container-title":"American Journal of Neuroradiology","id":"ITEM-1","issue":"3","issued":{"date-parts":[["2008"]]},"page":"520-525","title":"Contrast extravasation on CT predicts mortality in primary intracerebral hemorrhage","type":"article-journal","volume":"29"},"uris":["http://www.mendeley.com/documents/?uuid=656cab3c-bcf9-45fc-be5d-e1802536b52d"]}],"mendeley":{"formattedCitation":"&lt;sup&gt;2&lt;/sup&gt;","plainTextFormattedCitation":"2","previouslyFormattedCitation":"&lt;sup&gt;2&lt;/sup&gt;"},"properties":{"noteIndex":0},"schema":"https://github.com/citation-style-language/schema/raw/master/csl-citation.json"}</w:instrText>
            </w:r>
            <w:r w:rsidRPr="009401CC">
              <w:rPr>
                <w:rFonts w:eastAsia="Times New Roman"/>
                <w:color w:val="000000"/>
                <w:sz w:val="20"/>
                <w:szCs w:val="20"/>
              </w:rPr>
              <w:fldChar w:fldCharType="separate"/>
            </w:r>
            <w:r w:rsidRPr="00176CAD">
              <w:rPr>
                <w:rFonts w:eastAsia="Times New Roman"/>
                <w:noProof/>
                <w:color w:val="000000"/>
                <w:sz w:val="20"/>
                <w:szCs w:val="20"/>
                <w:vertAlign w:val="superscript"/>
              </w:rPr>
              <w:t>2</w:t>
            </w:r>
            <w:r w:rsidRPr="009401CC">
              <w:rPr>
                <w:rFonts w:eastAsia="Times New Roman"/>
                <w:color w:val="000000"/>
                <w:sz w:val="20"/>
                <w:szCs w:val="20"/>
              </w:rPr>
              <w:fldChar w:fldCharType="end"/>
            </w:r>
          </w:p>
        </w:tc>
        <w:tc>
          <w:tcPr>
            <w:tcW w:w="382"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2"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2"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N</w:t>
            </w:r>
          </w:p>
        </w:tc>
        <w:tc>
          <w:tcPr>
            <w:tcW w:w="913"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Unclear</w:t>
            </w:r>
          </w:p>
        </w:tc>
      </w:tr>
      <w:tr w:rsidR="00C941F7" w:rsidRPr="00F022D2" w:rsidTr="00D10CED">
        <w:trPr>
          <w:trHeight w:val="284"/>
        </w:trPr>
        <w:tc>
          <w:tcPr>
            <w:tcW w:w="2706" w:type="dxa"/>
            <w:shd w:val="clear" w:color="auto" w:fill="auto"/>
            <w:noWrap/>
            <w:vAlign w:val="center"/>
            <w:hideMark/>
          </w:tcPr>
          <w:p w:rsidR="00C941F7" w:rsidRPr="00AC3653" w:rsidRDefault="00C941F7" w:rsidP="00D10CED">
            <w:pPr>
              <w:spacing w:after="0"/>
              <w:rPr>
                <w:rFonts w:eastAsia="Times New Roman"/>
                <w:color w:val="000000"/>
                <w:sz w:val="20"/>
                <w:szCs w:val="20"/>
                <w:lang w:val="en-US"/>
              </w:rPr>
            </w:pPr>
            <w:r w:rsidRPr="009401CC">
              <w:rPr>
                <w:rFonts w:eastAsia="Times New Roman"/>
                <w:color w:val="000000"/>
                <w:sz w:val="20"/>
                <w:szCs w:val="20"/>
              </w:rPr>
              <w:t xml:space="preserve">Barras et al. 2009 </w:t>
            </w:r>
            <w:r w:rsidRPr="009401CC">
              <w:rPr>
                <w:rFonts w:eastAsia="Times New Roman"/>
                <w:color w:val="000000"/>
                <w:sz w:val="20"/>
                <w:szCs w:val="20"/>
              </w:rPr>
              <w:fldChar w:fldCharType="begin" w:fldLock="1"/>
            </w:r>
            <w:r>
              <w:rPr>
                <w:rFonts w:eastAsia="Times New Roman"/>
                <w:color w:val="000000"/>
                <w:sz w:val="20"/>
                <w:szCs w:val="20"/>
              </w:rPr>
              <w:instrText>ADDIN CSL_CITATION {"citationItems":[{"id":"ITEM-1","itemData":{"DOI":"10.1161/STROKEAHA.108.536888","ISBN":"1524-4628 (Electronic)","ISSN":"00392499","PMID":"19286590","abstract":"BACKGROUND AND PURPOSE: Intracerebral hemorrhage (ICH) growth predicts mortality and functional outcome. We hypothesized that irregular hematoma shape and density heterogeneity, reflecting active, multifocal bleeding or a variable bleeding time course, would predict ICH growth. METHODS: Three raters examined baseline sub-3-hour CT brain scans of 90 patients in the placebo arm of a Phase IIb trial of recombinant activated Factor VII in ICH. Each rater, blinded to growth data, independently applied novel 5-point categorical scales of density and shape to randomly presented baseline CT images of ICH. Density and shape were defined as either homogeneous/regular (Category 1 to 2) or heterogeneous/irregular (Category 3 to 5). Within- and between-rater reliability was determined for these scales. Growth was assessed as a continuous variable and using 3 binary definitions: (1) any ICH growth; (2) &gt;or=33% or &gt;or=12.5 mL ICH growth; and (3) radial growth &gt;1 mm between baseline and 24-hour CT scan. Patients were divided into tertiles of baseline ICH volume: \"small\" (0 to 10 mL), \"medium\" (10 to 25 mL), and \"large\" (25 to 106 mL). RESULTS: Inter- and intrarater agreements for the novel scales exceeded 85% (+/-1 category). Median growth was significantly higher in the large-volume group compared with the small group (P&lt;0.001) and in heterogeneous compared with homogeneous ICH (P=0.008). Median growth trended higher in irregular ICHs compared with regular ICHs (P=0.084). Small ICHs were more regularly shaped (43%) than medium (17%) and large (3%) ICHs (P&lt;0.001). Small ICHs were more homogeneous (73%) compared with medium (37%) and large (17%) ICHs (P&lt;0.001). Adjusting for baseline ICH volume and time to scan, density heterogeneity, but not shape irregularity, independently predicted ICH growth (P=0.046) on a continuous growth scale. CONCLUSIONS: Large ICHs were significantly more irregular in shape, heterogeneous in density, and had greater growth. Density heterogeneity independently predicted ICH growth using some definitions.","author":[{"dropping-particle":"","family":"Barras","given":"Christen D.","non-dropping-particle":"","parse-names":false,"suffix":""},{"dropping-particle":"","family":"Tress","given":"Brian M.","non-dropping-particle":"","parse-names":false,"suffix":""},{"dropping-particle":"","family":"Christensen","given":"Soren","non-dropping-particle":"","parse-names":false,"suffix":""},{"dropping-particle":"","family":"MacGregor","given":"Lachlan","non-dropping-particle":"","parse-names":false,"suffix":""},{"dropping-particle":"","family":"Collins","giv</w:instrText>
            </w:r>
            <w:r w:rsidRPr="00564C52">
              <w:rPr>
                <w:rFonts w:eastAsia="Times New Roman"/>
                <w:color w:val="000000"/>
                <w:sz w:val="20"/>
                <w:szCs w:val="20"/>
                <w:lang w:val="en-US"/>
              </w:rPr>
              <w:instrText>en":"Mamie","non-dropping-particle":"","parse-names":false,"suffix":""},{"dropping-particle":"","family":"Desmond","given":"Patricia M.","non-dropping-particle":"","parse-names":false,"suffix":""},{"dropping-particle":"","family":"Skolnick","given":"Brett E.","non-dropping-particle":"","parse-names":false,"suffix":""},{"dropping-particle":"","family":"Mayer","given":"Stephan a.","non-dropping-particle":"","parse-names":false,"suffix":""},{"dropping-particle":"","family":"Broderick","given":"Joseph P.","non-dropping-particle":"","parse-names":false,"suffix":""},{"dropping-particle":"","family":"Diringer","given":"Michael N.","non-dropping-particle":"","parse-names":false,"suffix":""},{"dropping-particle":"","family":"Steiner","given":"Thorsten","non-dropping-particle":"","parse-names":false,"suffix":""},{"dropping-particle":"","family":"Davis","given":"Stephen M.","non-dropping-particle":"","parse-names":false,"suffix":""}],"container-title":"Stroke","id":"ITEM-1","issue":"4","issued":{"date-parts":[["2009"]]},"page":"1325-1331","title":"Density and shape as CT predictors of intracerebral hemorrhage growth","type":"article-journal","volume":"40"},"uris":["http://www.mendeley.com/documents/?uuid=906e5a87-c664-42bc-a823-07f07c0e04d2"]}],"mendeley":{"formattedCitation":"&lt;sup&gt;3&lt;/sup&gt;","plainTextFormattedCitation":"3","previouslyFormattedCitation":"&lt;sup&gt;3&lt;/sup&gt;"},"properties":{"noteIndex":0},"schema":"https://github.com/citation-style-language/schema/raw/master/csl-citation.json"}</w:instrText>
            </w:r>
            <w:r w:rsidRPr="009401CC">
              <w:rPr>
                <w:rFonts w:eastAsia="Times New Roman"/>
                <w:color w:val="000000"/>
                <w:sz w:val="20"/>
                <w:szCs w:val="20"/>
              </w:rPr>
              <w:fldChar w:fldCharType="separate"/>
            </w:r>
            <w:r w:rsidRPr="00176CAD">
              <w:rPr>
                <w:rFonts w:eastAsia="Times New Roman"/>
                <w:noProof/>
                <w:color w:val="000000"/>
                <w:sz w:val="20"/>
                <w:szCs w:val="20"/>
                <w:vertAlign w:val="superscript"/>
                <w:lang w:val="en-US"/>
              </w:rPr>
              <w:t>3</w:t>
            </w:r>
            <w:r w:rsidRPr="009401CC">
              <w:rPr>
                <w:rFonts w:eastAsia="Times New Roman"/>
                <w:color w:val="000000"/>
                <w:sz w:val="20"/>
                <w:szCs w:val="20"/>
              </w:rPr>
              <w:fldChar w:fldCharType="end"/>
            </w:r>
          </w:p>
        </w:tc>
        <w:tc>
          <w:tcPr>
            <w:tcW w:w="382" w:type="dxa"/>
            <w:shd w:val="clear" w:color="auto" w:fill="auto"/>
            <w:noWrap/>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2"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2"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U</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U</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U</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N</w:t>
            </w:r>
          </w:p>
        </w:tc>
        <w:tc>
          <w:tcPr>
            <w:tcW w:w="913" w:type="dxa"/>
            <w:shd w:val="clear" w:color="auto" w:fill="auto"/>
            <w:noWrap/>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Low</w:t>
            </w:r>
          </w:p>
        </w:tc>
      </w:tr>
      <w:tr w:rsidR="00C941F7" w:rsidRPr="009401CC" w:rsidTr="00D10CED">
        <w:trPr>
          <w:trHeight w:val="284"/>
        </w:trPr>
        <w:tc>
          <w:tcPr>
            <w:tcW w:w="2706" w:type="dxa"/>
            <w:shd w:val="clear" w:color="auto" w:fill="auto"/>
            <w:noWrap/>
            <w:vAlign w:val="center"/>
            <w:hideMark/>
          </w:tcPr>
          <w:p w:rsidR="00C941F7" w:rsidRPr="009401CC" w:rsidRDefault="00C941F7" w:rsidP="00D10CED">
            <w:pPr>
              <w:spacing w:after="0"/>
              <w:rPr>
                <w:rFonts w:eastAsia="Times New Roman"/>
                <w:color w:val="000000"/>
                <w:sz w:val="20"/>
                <w:szCs w:val="20"/>
              </w:rPr>
            </w:pPr>
            <w:proofErr w:type="spellStart"/>
            <w:r w:rsidRPr="00AC3653">
              <w:rPr>
                <w:rFonts w:eastAsia="Times New Roman"/>
                <w:color w:val="000000"/>
                <w:sz w:val="20"/>
                <w:szCs w:val="20"/>
                <w:lang w:val="en-US"/>
              </w:rPr>
              <w:t>Selariu</w:t>
            </w:r>
            <w:proofErr w:type="spellEnd"/>
            <w:r w:rsidRPr="00AC3653">
              <w:rPr>
                <w:rFonts w:eastAsia="Times New Roman"/>
                <w:color w:val="000000"/>
                <w:sz w:val="20"/>
                <w:szCs w:val="20"/>
                <w:lang w:val="en-US"/>
              </w:rPr>
              <w:t xml:space="preserve"> et al. 2012 </w:t>
            </w:r>
            <w:r w:rsidRPr="009401CC">
              <w:rPr>
                <w:rFonts w:eastAsia="Times New Roman"/>
                <w:color w:val="000000"/>
                <w:sz w:val="20"/>
                <w:szCs w:val="20"/>
              </w:rPr>
              <w:fldChar w:fldCharType="begin" w:fldLock="1"/>
            </w:r>
            <w:r>
              <w:rPr>
                <w:rFonts w:eastAsia="Times New Roman"/>
                <w:color w:val="000000"/>
                <w:sz w:val="20"/>
                <w:szCs w:val="20"/>
                <w:lang w:val="en-US"/>
              </w:rPr>
              <w:instrText>ADDIN CSL_CITATION {"citationItems":[{"id":"ITEM-1","itemData":{"DOI":"10.1186/1471-2377-12-109","ISSN":"1471-2377","abstract":"Swirl sign has previously been described in epidural hematomas as areas of low attenuation, radiolucency or irregular density. The aims of this study were to describe swirl sign in ICH, study its prevalence, study the reliability of the subjective evaluation on computed tomography (CT), and to explore its prognostic value.","author":[{"dropping-particle":"","family":"Selariu","given":"Eufrozina","non-dropping-particle":"","parse-names":false,"suffix":""},{"dropping-particle":"","family":"Zia","given":"Elisabet","non-dropping-particle":"","parse-names":false,"suffix":""},{"dropping-particle":"","family":"Brizzi","given":"Marco","non-dropping-particle":"","parse-names":false,"suffix":""},{"dropping-particle":"","family":"Abul-Kasim","given":"Kasim","non-dropping-particle":"","parse-names":false,"suffix":""}],"container-title":"BMC Neurology","id":"ITEM-1","issue":"1","issued":{"date-parts":[["2012","9"]]},"language":"en","page":"109","title":"Swirl sign in intracerebral haemorrhage: definition, prevalence, reliability and prognostic value","type":"article-journal","volume":"12"},"uris":["http://www.mendeley.com/documents/?uuid=6042d46f-0dc0-4d8b-9f93-3fd6bf4e3dba"]}],"mendeley":{"formattedCitation":"&lt;sup&gt;4&lt;/sup&gt;","plainTextFormattedCitation":"4","previouslyFormattedCitation":"&lt;sup&gt;4&lt;/sup&gt;"},"properties":{"noteIndex":0},"schema":"https://github.com/citation-style-language/schema/raw/master/csl-citation.json"}</w:instrText>
            </w:r>
            <w:r w:rsidRPr="009401CC">
              <w:rPr>
                <w:rFonts w:eastAsia="Times New Roman"/>
                <w:color w:val="000000"/>
                <w:sz w:val="20"/>
                <w:szCs w:val="20"/>
              </w:rPr>
              <w:fldChar w:fldCharType="separate"/>
            </w:r>
            <w:r w:rsidRPr="00176CAD">
              <w:rPr>
                <w:rFonts w:eastAsia="Times New Roman"/>
                <w:noProof/>
                <w:color w:val="000000"/>
                <w:sz w:val="20"/>
                <w:szCs w:val="20"/>
                <w:vertAlign w:val="superscript"/>
              </w:rPr>
              <w:t>4</w:t>
            </w:r>
            <w:r w:rsidRPr="009401CC">
              <w:rPr>
                <w:rFonts w:eastAsia="Times New Roman"/>
                <w:color w:val="000000"/>
                <w:sz w:val="20"/>
                <w:szCs w:val="20"/>
              </w:rPr>
              <w:fldChar w:fldCharType="end"/>
            </w:r>
            <w:r w:rsidRPr="009401CC">
              <w:rPr>
                <w:rFonts w:eastAsia="Times New Roman"/>
                <w:color w:val="000000"/>
                <w:sz w:val="20"/>
                <w:szCs w:val="20"/>
              </w:rPr>
              <w:t xml:space="preserve"> </w:t>
            </w:r>
          </w:p>
        </w:tc>
        <w:tc>
          <w:tcPr>
            <w:tcW w:w="382"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2"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2"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N</w:t>
            </w:r>
          </w:p>
        </w:tc>
        <w:tc>
          <w:tcPr>
            <w:tcW w:w="913"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Unclear</w:t>
            </w:r>
          </w:p>
        </w:tc>
      </w:tr>
      <w:tr w:rsidR="00C941F7" w:rsidRPr="009401CC" w:rsidTr="00D10CED">
        <w:trPr>
          <w:trHeight w:val="284"/>
        </w:trPr>
        <w:tc>
          <w:tcPr>
            <w:tcW w:w="2706"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 xml:space="preserve">Galbois et al. 2013 </w:t>
            </w:r>
            <w:r w:rsidRPr="009401CC">
              <w:rPr>
                <w:rFonts w:eastAsia="Times New Roman"/>
                <w:color w:val="000000"/>
                <w:sz w:val="20"/>
                <w:szCs w:val="20"/>
              </w:rPr>
              <w:fldChar w:fldCharType="begin" w:fldLock="1"/>
            </w:r>
            <w:r>
              <w:rPr>
                <w:rFonts w:eastAsia="Times New Roman"/>
                <w:color w:val="000000"/>
                <w:sz w:val="20"/>
                <w:szCs w:val="20"/>
              </w:rPr>
              <w:instrText>ADDIN CSL_CITATION {"citationItems":[{"id":"ITEM-1","itemData":{"DOI":"10.1111/tri.12084","ISBN":"0934-0874","ISSN":"09340874","PMID":"23517301","abstract":"The aim of the study was to identify the predictors of brain death (BD) upon admission to the intensive care unit (ICU) of comatose patients with spontaneous intracerebral hemorrhage (ICH). Patients admitted in our ICU from 2002 to 2010 for spontaneous ICH and placed under mechanical ventilation were retrospectively analyzed. Of the 72 patients, 49% evolved to BD, 39% died after withdrawal of life support, and 12% were discharged alive. The most discriminating characteristics to predict BD were included in two models; Model 1 contained ≥3 abolished brainstem responses [adjusted odds ratios (OR) = 8.4 (2.4, 29.1)] and the swirl sign on the baseline CT-scan [adjusted OR = 5.0 (1.6, 15.9)] and Model 2 addressed the abolition of corneal reflexes [unilateral/bilateral: adjusted OR = 4.2 (0.9, 20.1)/8.8 (2.4, 32.3)] and the swirl sign on the baseline CT-scan [adjusted OR = 6.2 (1.9, 20.0)]. Two scores predicting BD were created (sensitivity: 0.89 and 0.88, specificity: 0.68 and 0.65). Risk of evolution toward BD was classified as low (corneal reflexes present and no swirl sign), high (≥1 corneal reflexes abolished and swirl sign), and intermediate. Simple signs at ICU admission can predict BD in comatose patients with ICH and could increase the potential for organ donation.","author":[{"dropping-particle":"","family":"Galbois","given":"Arnaud","non-dropping-particle":"","parse-names":false,"suffix":""},{"dropping-particle":"","family":"Boëlle","given":"Pierre Yves","non-dropping-particle":"","parse-names":false,"suffix":""},{"dropping-particle":"","family":"Hainque","given":"Elodie","non-dropping-particle":"","parse-names":false,"suffix":""},{"dropping-particle":"","family":"Raynal","given":"Marianne","non-dropping-particle":"","parse-names":false,"suffix":""},{"dropping-particle":"","family":"Cazejust","given":"Julien","non-dropping-particle":"","parse-names":false,"suffix":""},{"dropping-particle":"","family":"Baudel","given":"Jean Luc","non-dropping-particle":"","parse-names":false,"suffix":""},{"dropping-particle":"","family":"Ait-Oufella","given":"Hafid","non-dropping-particle":"","parse-names":false,"suffix":""},{"dropping-particle":"","family":"Alves","given":"Mikael","non-dropping-particle":"","parse-names":false,"suffix":""},{"dropping-particle":"","family":"Bigé","given":"Naïke","non-dropping-particle":"","parse-names":false,"suffix":""},{"dropping-particle":"","family":"Maury","given":"Eric","non-dropping-particle":"","parse-names":false,"suffix":""},{"dropping-particle":"","family":"Guidet","given":"Bertrand","non-dropping-particle":"","parse-names":false,"suffix":""},{"dropping-particle":"","family":"Offenstadt","given":"Georges","non-dropping-particle":"","parse-names":false,"suffix":""}],"container-title":"Transplant International","id":"ITEM-1","issue":"5","issued":{"date-parts":[["2013"]]},"page":"517-526","title":"Prediction of evolution toward brain death upon admission to ICU in comatose patients with spontaneous intracerebral hemorrhage using simple signs","type":"article-journal","volume":"26"},"uris":["http://www.mendeley.com/documents/?uuid=842b6eda-6d5d-4ef0-ba12-d51e6716b80e"]}],"mendeley":{"formattedCitation":"&lt;sup&gt;5&lt;/sup&gt;","plainTextFormattedCitation":"5","previouslyFormattedCitation":"&lt;sup&gt;5&lt;/sup&gt;"},"properties":{"noteIndex":0},"schema":"https://github.com/citation-style-language/schema/raw/master/csl-citation.json"}</w:instrText>
            </w:r>
            <w:r w:rsidRPr="009401CC">
              <w:rPr>
                <w:rFonts w:eastAsia="Times New Roman"/>
                <w:color w:val="000000"/>
                <w:sz w:val="20"/>
                <w:szCs w:val="20"/>
              </w:rPr>
              <w:fldChar w:fldCharType="separate"/>
            </w:r>
            <w:r w:rsidRPr="00176CAD">
              <w:rPr>
                <w:rFonts w:eastAsia="Times New Roman"/>
                <w:noProof/>
                <w:color w:val="000000"/>
                <w:sz w:val="20"/>
                <w:szCs w:val="20"/>
                <w:vertAlign w:val="superscript"/>
              </w:rPr>
              <w:t>5</w:t>
            </w:r>
            <w:r w:rsidRPr="009401CC">
              <w:rPr>
                <w:rFonts w:eastAsia="Times New Roman"/>
                <w:color w:val="000000"/>
                <w:sz w:val="20"/>
                <w:szCs w:val="20"/>
              </w:rPr>
              <w:fldChar w:fldCharType="end"/>
            </w:r>
          </w:p>
        </w:tc>
        <w:tc>
          <w:tcPr>
            <w:tcW w:w="382"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2"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2"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N</w:t>
            </w:r>
          </w:p>
        </w:tc>
        <w:tc>
          <w:tcPr>
            <w:tcW w:w="913"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Unclear</w:t>
            </w:r>
          </w:p>
        </w:tc>
      </w:tr>
      <w:tr w:rsidR="00C941F7" w:rsidRPr="009401CC" w:rsidTr="00D10CED">
        <w:trPr>
          <w:trHeight w:val="284"/>
        </w:trPr>
        <w:tc>
          <w:tcPr>
            <w:tcW w:w="2706"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 xml:space="preserve">Takeda et al. 2013 </w:t>
            </w:r>
            <w:r w:rsidRPr="009401CC">
              <w:rPr>
                <w:rFonts w:eastAsia="Times New Roman"/>
                <w:color w:val="000000"/>
                <w:sz w:val="20"/>
                <w:szCs w:val="20"/>
              </w:rPr>
              <w:fldChar w:fldCharType="begin" w:fldLock="1"/>
            </w:r>
            <w:r>
              <w:rPr>
                <w:rFonts w:eastAsia="Times New Roman"/>
                <w:color w:val="000000"/>
                <w:sz w:val="20"/>
                <w:szCs w:val="20"/>
              </w:rPr>
              <w:instrText>ADDIN CSL_CITATION {"citationItems":[{"id":"ITEM-1","itemData":{"DOI":"10.1016/j.clineuro.2012.10.016","ISSN":"03038467","PMID":"23245855","abstract":"OBJECTIVE Early hematoma expansion is a known cause of morbidity and mortality in patients with intracerebral hemorrhage (ICH). The goal of this study was to identify clinical predictors of ICH growth in the acute stage. MATERIALS AND METHODS We studied 201 patients with acute (&lt;6 h) deep ganglionic ICH. Patients underwent CT scan at baseline and hematoma expansion (&gt;33% or &gt;12.5 ml increase) was determined on the second scan performed within 24 h. Fourteen clinical and neuroimaging variables (age, gender, GCS at admission, hypertension, diabetes mellitus, kidney disease, stroke, hemorrhagic, antiplatelet use, anticoagulant use, hematoma density heterogeneity, hematoma shape irregularity, hematoma volume and presence of IVH) were registered. Additionally, blood pressure was registered at initial systolic BP (i-SBP) and systolic BP 1.5 h after admission (1.5 h-SBP). The discriminant value of the hematoma volume and 1.5 h-SBP for hematoma expansion were determined by the receiver operating characteristic (ROC) curves. Factors associated with hematoma expansion were analyzed with multiple logistic regression. RESULTS Early hematoma expansion occurred in 15 patients (7.0%). The cut-off value of hematoma volume and 1.5 h-SBP were determined to be 16 ml and 160 mmHg, respectively. Hematoma volume above 16 ml (HV&gt;16) ([OR]=5.05, 95% CI 1.32-21.36, p=0.018), hematoma heterogeneity (HH) ([OR]=7.81, 95% CI 1.91-40.23, p=0.004) and 1.5 h-SBP above 160 mmHg (1.5 h-SBP&gt;160) ([OR]=8.77, 95% CI 2.33-44.56, p=0.001) independently predicted ICH expansion. If those three factors were present, the probability was estimated to be 59%. CONCLUSIONS The presented model (HV&gt;16, HH, 1.5 h-SBP&gt;160) can be a practical tool for prediction of ICH growth in the acute stage. Further prospective studies are warranted to validate the ability of this model to predict clinical outcome.","author":[{"dropping-particle":"","family":"Takeda","given":"Ririko","non-dropping-particle":"","parse-names":false,"suffix":""},{"dropping-particle":"","family":"Ogura","given":"Takeshi","non-dropping-particle":"","parse-names":false,"suffix":""},{"dropping-particle":"","family":"Ooigawa","given":"Hidetoshi","non-dropping-particle":"","parse-names":false,"suffix":""},{"dropping-particle":"","family":"Fushihara","given":"Goji","non-dropping-particle":"","parse-names":false,"suffix":""},{"dropping-particle":"","family":"Yoshikawa","given":"Shin-ichiro","non-dropping-particle":"","parse-names":false,"suffix":""},{"dropping-particle":"","family":"Okada","given":"Daisuke","non-dropping-particle":"","parse-names":false,"suffix":""},{"dropping-particle":"","family":"Araki","given":"Ryuichiro","non-dropping-particle":"","parse-names":false,"suffix":""},{"dropping-particle":"","family":"Kurita","given":"Hiroki","non-dropping-particle":"","parse-names":false,"suffix":""}],"container-title":"Clinical Neurology and Neurosurgery","id":"ITEM-1","issue":"7","issued":{"date-parts":[["2013","7"]]},"page":"1028-1031","title":"A practical prediction model for early hematoma expansion in spontaneous deep ganglionic intracerebral hemorrhage","type":"article-journal","volume":"115"},"uris":["http://www.mendeley.com/documents/?uuid=10baeaf5-1fcb-35a3-b126-e059deb3375c"]}],"mendeley":{"formattedCitation":"&lt;sup&gt;6&lt;/sup&gt;","plainTextFormattedCitation":"6","previouslyFormattedCitation":"&lt;sup&gt;6&lt;/sup&gt;"},"properties":{"noteIndex":0},"schema":"https://github.com/citation-style-language/schema/raw/master/csl-citation.json"}</w:instrText>
            </w:r>
            <w:r w:rsidRPr="009401CC">
              <w:rPr>
                <w:rFonts w:eastAsia="Times New Roman"/>
                <w:color w:val="000000"/>
                <w:sz w:val="20"/>
                <w:szCs w:val="20"/>
              </w:rPr>
              <w:fldChar w:fldCharType="separate"/>
            </w:r>
            <w:r w:rsidRPr="00176CAD">
              <w:rPr>
                <w:rFonts w:eastAsia="Times New Roman"/>
                <w:noProof/>
                <w:color w:val="000000"/>
                <w:sz w:val="20"/>
                <w:szCs w:val="20"/>
                <w:vertAlign w:val="superscript"/>
              </w:rPr>
              <w:t>6</w:t>
            </w:r>
            <w:r w:rsidRPr="009401CC">
              <w:rPr>
                <w:rFonts w:eastAsia="Times New Roman"/>
                <w:color w:val="000000"/>
                <w:sz w:val="20"/>
                <w:szCs w:val="20"/>
              </w:rPr>
              <w:fldChar w:fldCharType="end"/>
            </w:r>
          </w:p>
        </w:tc>
        <w:tc>
          <w:tcPr>
            <w:tcW w:w="382"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2"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2"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N</w:t>
            </w:r>
          </w:p>
        </w:tc>
        <w:tc>
          <w:tcPr>
            <w:tcW w:w="913"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Unclear</w:t>
            </w:r>
          </w:p>
        </w:tc>
      </w:tr>
      <w:tr w:rsidR="00C941F7" w:rsidRPr="009401CC" w:rsidTr="00D10CED">
        <w:trPr>
          <w:trHeight w:val="284"/>
        </w:trPr>
        <w:tc>
          <w:tcPr>
            <w:tcW w:w="2706"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 xml:space="preserve">Gökçe et al. 2014 </w:t>
            </w:r>
            <w:r w:rsidRPr="009401CC">
              <w:rPr>
                <w:rFonts w:eastAsia="Times New Roman"/>
                <w:color w:val="000000"/>
                <w:sz w:val="20"/>
                <w:szCs w:val="20"/>
              </w:rPr>
              <w:fldChar w:fldCharType="begin" w:fldLock="1"/>
            </w:r>
            <w:r>
              <w:rPr>
                <w:rFonts w:eastAsia="Times New Roman"/>
                <w:color w:val="000000"/>
                <w:sz w:val="20"/>
                <w:szCs w:val="20"/>
              </w:rPr>
              <w:instrText>ADDIN CSL_CITATION {"citationItems":[{"id":"ITEM-1","itemData":{"DOI":"10.1007/s00062-014-0292-8","ISSN":"18691447","PMID":"24474263","abstract":"PURPOSE: Intracranial hemorrhage (ICH) is one of the most serious and lethal complications of anticoagulants with a reported incidence of 5-18.5 %. Computed tomographic (CT) findings, should be carefully studied because early diagnosis and treatment of oral anticoagulant use-associated hematomas are vitally important. In the present study, CT findings of intraparenchymal hematomas associated with anticoagulant and antihypertensive use are presented.\\n\\nMETHODS: This study included 45 patients (25 men, 20 women) under anticoagulant (21 patients) or antihypertensive (24 patients) treatment who had brain CT examinations due to complaints and findings suggesting cerebrovascular disease during July 2010-October 2013 period. CT examinations were performed to determine hematoma volumes and presence of swirl sign, hematocrit effect, mid-line shift effect, and intraventricular extension.\\n\\nRESULTS: The patients were 40-89 years of age. In four cases, a total of 51 intraparenchymal hematomas (42 cerebral, 7 cerebellar and 2 brain stem) were detected in multiple foci. Hematoma volumes varied from 0.09 to 284.00 ml. Swirl sign was observed in 87.5 and 63.0 % of OAC-associated ICHs and non-OAC-associated ICHs, respectively. In addition, hematocrit effect was observed in 41.6 % of OAC-associated and in 3.7 % of non-OAC-associated ICHs. Volume increases were observed in all 19 hematomas where swirl sign was detected, and follow-up CT scanning was conducted. Mortality of OAC-associated ICHs was correlated with initial volumes of hematoma, mid-line shift amount, and intraventricular extension.\\n\\nCONCLUSIONS: Detection of hematocrit effect by CT scanning of intracranial hematomas should be cautionary in oral anticoagulant use, while detection of swirl sign should be suggestive of active hemorrhage.","author":[{"dropping-particle":"","family":"Gökçe","given":"E.","non-dropping-particle":"","parse-names":false,"suffix":""},{"dropping-particle":"","family":"Beyhan","given":"M.","non-dropping-particle":"","parse-names":false,"suffix":""},{"dropping-particle":"","family":"Acu","given":"B.","non-dropping-particle":"","parse-names":false,"suffix":""}],"container-title":"Clinical Neuroradiology","id":"ITEM-1","issue":"2","issued":{"date-parts":[["2015"]]},"page":"151-159","title":"Evaluation of Oral Anticoagulant-Associated Intracranial Parenchymal Hematomas Using CT Findings","type":"article-journal","volume":"25"},"uris":["http://www.mendeley.com/documents/?uuid=511d94ee-0801-49ab-b13b-915c4313a336"]}],"mendeley":{"formattedCitation":"&lt;sup&gt;7&lt;/sup&gt;","plainTextFormattedCitation":"7","previouslyFormattedCitation":"&lt;sup&gt;7&lt;/sup&gt;"},"properties":{"noteIndex":0},"schema":"https://github.com/citation-style-language/schema/raw/master/csl-citation.json"}</w:instrText>
            </w:r>
            <w:r w:rsidRPr="009401CC">
              <w:rPr>
                <w:rFonts w:eastAsia="Times New Roman"/>
                <w:color w:val="000000"/>
                <w:sz w:val="20"/>
                <w:szCs w:val="20"/>
              </w:rPr>
              <w:fldChar w:fldCharType="separate"/>
            </w:r>
            <w:r w:rsidRPr="00176CAD">
              <w:rPr>
                <w:rFonts w:eastAsia="Times New Roman"/>
                <w:noProof/>
                <w:color w:val="000000"/>
                <w:sz w:val="20"/>
                <w:szCs w:val="20"/>
                <w:vertAlign w:val="superscript"/>
              </w:rPr>
              <w:t>7</w:t>
            </w:r>
            <w:r w:rsidRPr="009401CC">
              <w:rPr>
                <w:rFonts w:eastAsia="Times New Roman"/>
                <w:color w:val="000000"/>
                <w:sz w:val="20"/>
                <w:szCs w:val="20"/>
              </w:rPr>
              <w:fldChar w:fldCharType="end"/>
            </w:r>
            <w:r w:rsidRPr="009401CC">
              <w:rPr>
                <w:rFonts w:eastAsia="Times New Roman"/>
                <w:color w:val="000000"/>
                <w:sz w:val="20"/>
                <w:szCs w:val="20"/>
              </w:rPr>
              <w:t xml:space="preserve"> </w:t>
            </w:r>
          </w:p>
        </w:tc>
        <w:tc>
          <w:tcPr>
            <w:tcW w:w="382"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2"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2"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N</w:t>
            </w:r>
          </w:p>
        </w:tc>
        <w:tc>
          <w:tcPr>
            <w:tcW w:w="913"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Unclear</w:t>
            </w:r>
          </w:p>
        </w:tc>
      </w:tr>
      <w:tr w:rsidR="00C941F7" w:rsidRPr="00F022D2" w:rsidTr="00D10CED">
        <w:trPr>
          <w:trHeight w:val="284"/>
        </w:trPr>
        <w:tc>
          <w:tcPr>
            <w:tcW w:w="2706" w:type="dxa"/>
            <w:shd w:val="clear" w:color="auto" w:fill="auto"/>
            <w:noWrap/>
            <w:vAlign w:val="center"/>
            <w:hideMark/>
          </w:tcPr>
          <w:p w:rsidR="00C941F7" w:rsidRPr="00AC3653" w:rsidRDefault="00C941F7" w:rsidP="00D10CED">
            <w:pPr>
              <w:spacing w:after="0"/>
              <w:rPr>
                <w:rFonts w:eastAsia="Times New Roman"/>
                <w:color w:val="000000"/>
                <w:sz w:val="20"/>
                <w:szCs w:val="20"/>
                <w:lang w:val="en-US"/>
              </w:rPr>
            </w:pPr>
            <w:r w:rsidRPr="009401CC">
              <w:rPr>
                <w:rFonts w:eastAsia="Times New Roman"/>
                <w:color w:val="000000"/>
                <w:sz w:val="20"/>
                <w:szCs w:val="20"/>
              </w:rPr>
              <w:t xml:space="preserve">Blacquiere et al. 2015 </w:t>
            </w:r>
            <w:r w:rsidRPr="009401CC">
              <w:rPr>
                <w:rFonts w:eastAsia="Times New Roman"/>
                <w:color w:val="000000"/>
                <w:sz w:val="20"/>
                <w:szCs w:val="20"/>
              </w:rPr>
              <w:fldChar w:fldCharType="begin" w:fldLock="1"/>
            </w:r>
            <w:r>
              <w:rPr>
                <w:rFonts w:eastAsia="Times New Roman"/>
                <w:color w:val="000000"/>
                <w:sz w:val="20"/>
                <w:szCs w:val="20"/>
              </w:rPr>
              <w:instrText>ADDIN CSL_CITATION {"citationItems":[{"id":"ITEM-1","itemData":{"DOI":"10.1161/STROKEAHA.115.010566","ISSN":"1524-4628","PMID":"26451019","abstract":"BACKGROUND AND PURPOSE: Hematoma expansion in intracerebral hemorrhage is associated with higher morbidity and mortality. The computed tomography (CT) angiographic spot sign is highly predictive of expansion, but other morphological features of intracerebral hemorrhage such as fluid levels, density heterogeneity, and margin irregularity may also predict expansion, particularly in centres where CT angiography is not readily available.\n\nMETHODS: Baseline noncontrast CT scans from patients enrolled in the Predicting Hematoma Growth and Outcome in Intracerebral Hemorrhage Using Contrast Bolus CT (PREDICT) study were assessed for the presence of fluid levels and degree of density heterogeneity and margin irregularity using previously validated scales. Presence and grade of these metrics were correlated with the presence of hematoma expansion as defined by the PREDICT study on 24-hour follow-up scan.\n\nRESULTS: Three hundred eleven patients were included in the analysis. The presence of fluid levels and increasing heterogeneity and irregularity were associated with 24-hour hematoma expansion (P=0.021, 0.003 and 0.049, respectively) as well as increases in absolute hematoma size. Fluid levels had the highest positive predictive value (50%; 28%-71%), whereas margin irregularity had the highest negative predictive value (78%; 71%-85). Noncontrast metrics had comparable predictive values as spot sign for expansion when controlled for vitamin K, antiplatelet use, and baseline National Institutes of Health Stroke Scale, although in a combined area under the receiver-operating characteristic curve model, spot sign remained the most predictive.\n\nCONCLUSIONS: Fluid levels, density heterogeneity, and margin irregularity on noncontrast CT are associated with hematoma expansion at 24 hours. These markers may assist in prediction of outcomes in scenarios where CT angiography is not readily available and may be of future help in refining the predictive value of the CT angiography spot sign.","author":[{"dropping-particle":"","family":"Blacquiere","given":"Dylan","non-dropping-particle":"","parse-names":false,"suffix":""},{"dropping-particle":"","family":"Demchuk","given":"Andrew M","non-dropping-particle":"","parse-names":false,"suffix":""},{"dropping-particle":"","family":"Al-Hazzaa","given":"Mohammed","non-dropping-particle":"","parse-names":false,"suffix":""},{"dropping-particle":"","family":"Deshpande","given":"Anirudda","non-dropping-particle":"","parse-names":false,"suffix":""},{"dropping-particle":"","family":"Petrcich","given":"William","non-dropping-particle":"","parse-names":false,"suffix":""},{"dropping-particle":"","family":"Aviv","given":"Richard I","non-dropping-particle":"","parse-names":false,"suffix":""},{"dropping-particle":"","family":"Rodriguez-Luna","given":"David","non-dropping-particle":"","parse-names":false,"suffix":""},{"dropping-particle":"","family":"Molina","given":"Carlos A","non-dropping-particle":"","parse-names":false,"suffix":""},{"dropping-particle":"","family":"Silva Blas","given":"Yolanda","non-dropping-particle":"","parse-names":false,"suffix":""},{"dropping-particle":"","family":"Dzialowski","given":"Imanuel","non-dropping-particle":"","parse-names":false,"suffix":""},{"dropping-particle":"","family":"Czlonkowska","given":"Anna","non-dropping-particle":"","parse-names":false,"suffix":""},{"dropping-particle":"","family":"Boulanger","given":"Jean-Martin","non-dropping-particle":"","parse-names":false,"suffix":""},{"dropping-particle":"","family":"Lum","given":"Cheemun","non-dropping-particle":"","parse-names":false</w:instrText>
            </w:r>
            <w:r w:rsidRPr="00564C52">
              <w:rPr>
                <w:rFonts w:eastAsia="Times New Roman"/>
                <w:color w:val="000000"/>
                <w:sz w:val="20"/>
                <w:szCs w:val="20"/>
                <w:lang w:val="en-US"/>
              </w:rPr>
              <w:instrText>,"suffix":""},{"dropping-particle":"","family":"Gubitz","given":"Gord","non-dropping-particle":"","parse-names":false,"suffix":""},{"dropping-particle":"","family":"Padma","given":"Vasantha","non-dropping-particle":"","parse-names":false,"suffix":""},{"dropping-particle":"","family":"Roy","given":"Jayanta","non-dropping-particle":"","parse-names":false,"suffix":""},{"dropping-particle":"","family":"Kase","given":"Carlos S","non-dropping-particle":"","parse-names":false,"suffix":""},{"dropping-particle":"","family":"Bhatia","given":"Rohit","non-dropping-particle":"","parse-names":false,"suffix":""},{"dropping-particle":"","family":"Hill","given":"Michael D","non-dropping-particle":"","parse-names":false,"suffix":""},{"dropping-particle":"","family":"Dowlatshahi","given":"Dar","non-dropping-particle":"","parse-names":false,"suffix":""}],"container-title":"Stroke; a journal of cerebral circulation","id":"ITEM-1","issue":"11","issued":{"date-parts":[["2015","12"]]},"page":"3111-6","title":"Intracerebral Hematoma Morphologic Appearance on Noncontrast Computed Tomography Predicts Significant Hematoma Expansion.","type":"article-journal","volume":"46"},"uris":["http://www.mendeley.com/documents/?uuid=c7daf5be-45bd-45b8-87b6-86f5cdb58643"]}],"mendeley":{"formattedCitation":"&lt;sup&gt;8&lt;/sup&gt;","plainTextFormattedCitation":"8","previouslyFormattedCitation":"&lt;sup&gt;8&lt;/sup&gt;"},"properties":{"noteIndex":0},"schema":"https://github.com/citation-style-language/schema/raw/master/csl-citation.json"}</w:instrText>
            </w:r>
            <w:r w:rsidRPr="009401CC">
              <w:rPr>
                <w:rFonts w:eastAsia="Times New Roman"/>
                <w:color w:val="000000"/>
                <w:sz w:val="20"/>
                <w:szCs w:val="20"/>
              </w:rPr>
              <w:fldChar w:fldCharType="separate"/>
            </w:r>
            <w:r w:rsidRPr="00176CAD">
              <w:rPr>
                <w:rFonts w:eastAsia="Times New Roman"/>
                <w:noProof/>
                <w:color w:val="000000"/>
                <w:sz w:val="20"/>
                <w:szCs w:val="20"/>
                <w:vertAlign w:val="superscript"/>
                <w:lang w:val="en-US"/>
              </w:rPr>
              <w:t>8</w:t>
            </w:r>
            <w:r w:rsidRPr="009401CC">
              <w:rPr>
                <w:rFonts w:eastAsia="Times New Roman"/>
                <w:color w:val="000000"/>
                <w:sz w:val="20"/>
                <w:szCs w:val="20"/>
              </w:rPr>
              <w:fldChar w:fldCharType="end"/>
            </w:r>
            <w:r w:rsidRPr="00AC3653">
              <w:rPr>
                <w:rFonts w:eastAsia="Times New Roman"/>
                <w:color w:val="000000"/>
                <w:sz w:val="20"/>
                <w:szCs w:val="20"/>
                <w:lang w:val="en-US"/>
              </w:rPr>
              <w:t xml:space="preserve"> </w:t>
            </w:r>
          </w:p>
        </w:tc>
        <w:tc>
          <w:tcPr>
            <w:tcW w:w="382" w:type="dxa"/>
            <w:shd w:val="clear" w:color="auto" w:fill="auto"/>
            <w:noWrap/>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2"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2"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U</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U</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N</w:t>
            </w:r>
          </w:p>
        </w:tc>
        <w:tc>
          <w:tcPr>
            <w:tcW w:w="913" w:type="dxa"/>
            <w:shd w:val="clear" w:color="auto" w:fill="auto"/>
            <w:noWrap/>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Low</w:t>
            </w:r>
          </w:p>
        </w:tc>
      </w:tr>
      <w:tr w:rsidR="00C941F7" w:rsidRPr="00F022D2" w:rsidTr="00D10CED">
        <w:trPr>
          <w:trHeight w:val="284"/>
        </w:trPr>
        <w:tc>
          <w:tcPr>
            <w:tcW w:w="2706" w:type="dxa"/>
            <w:shd w:val="clear" w:color="auto" w:fill="auto"/>
            <w:noWrap/>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 xml:space="preserve">Connor et al. 2015 </w:t>
            </w:r>
            <w:r w:rsidRPr="009401CC">
              <w:rPr>
                <w:rFonts w:eastAsia="Times New Roman"/>
                <w:color w:val="000000"/>
                <w:sz w:val="20"/>
                <w:szCs w:val="20"/>
              </w:rPr>
              <w:fldChar w:fldCharType="begin" w:fldLock="1"/>
            </w:r>
            <w:r>
              <w:rPr>
                <w:rFonts w:eastAsia="Times New Roman"/>
                <w:color w:val="000000"/>
                <w:sz w:val="20"/>
                <w:szCs w:val="20"/>
                <w:lang w:val="en-US"/>
              </w:rPr>
              <w:instrText>ADDIN CSL_CITATION {"citationItems":[{"id":"ITEM-1","itemData":{"DOI":"10.1186/s40809-015-0010-1","ISSN":"2055-5792","abstract":"Acute intracerebral hemorrhage (ICH) heterogeneity on NCCT, characterized by qualitative and quantitative methods, is predictive of hematoma expansion and mortality however association with the spot sign is not well-described. We sought to validate and determine the association between qualitative and quantitative hematoma heterogeneity with expansion and the spot sign, respectively. We retrospectively studied 71 ICH patients presenting &lt;24 h post-ictus with baseline NCCT, CTA and 24-hour follow-up CT available. Baseline NCCT was assessed qualitatively for presence of swirl sign or hematoma heterogeneity by two independent readers blinded to CTA findings and quantitatively using CT densitometry (CTD). Associations with 24-hour hematoma expansion ≥6 ml or ≥33 % and spot sign were assessed using logistic regression and diagnostic performance was assessed. Association between qualitative and quantitative densitometry parameters was also examined. Swirl sign and quantitative CTD standard deviation were independently associated with expansion on multivariable analysis (p = 0.037 and p = 0.032, respectively). Swirl sign and hematoma heterogeneity were predictive of CTA spot sign (p = 0.020 and p = 0.035, respectively) while CTD standard deviation demonstrated only trend univariate association. CTD parameters were not significantly associated with swirl sign while only CTD skewness was associated with hematoma heterogeneity. Agreement for swirl sign and hematoma heterogeneity identification was nearly perfect (κ = 0.81) and substantial (κ = 0.79) respectively. NCCT qualitative parameters predict hematoma expansion and CTA spot sign presence. Quantitative markers independently predict hematoma expansion but not CTA spot sign presence.","author":[{"dropping-particle":"","family":"Connor","given":"Dale","non-dropping-particle":"","parse-names":false,"suffix":""},{"dropping-particle":"","family":"Huynh","given":"Thien J.","non-dropping-particle":"","parse-names":false,"suffix":""},{"dropping-particle":"","family":"Demchuk","given":"Andrew M.","non-dropping-particle":"","parse-names":false,"suffix":""},{"dropping-particle":"","family":"Dowlatshahi","given":"Dar","non-dropping-particle":"","parse-names":false,"suffix":""},{"dropping-particle":"","family":"Gladstone","given":"David J.","non-dropping-particle":"","parse-names":false,"suffix":""},{"dropping-particle":"","family":"Subramaniapillai","given":"Sivaniya","non-dropping-particle":"","parse-names":false,"suffix":""},{"dropping-particle":"","family":"Symons","given":"Sean P.","non-dropping-particle":"","parse-names":false,"suffix":""},{"dropping-particle":"","family":"Aviv","given":"Richard I.","non-dropping-particle":"","parse-names":false,"suffix":""}],"container-title":"Neurovascular Imaging","id":"ITEM-1","issue":"1","issued":{"date-parts":[["2015","12","15"]]},"page":"8","publisher":"BioMed Central","title":"Swirls and spots: relationship between qualitative and quantitative hematoma heterogeneity, hematoma expansion, and the spot sign","type":"article-journal","volume":"1"},"uris":["http://www.mendeley.com/documents/?uuid=f634f77c-c413-39c3-a8be-6efa3297db8b"]}],"mendeley":{"formattedCitation":"&lt;sup&gt;9&lt;/sup&gt;","plainTextFormattedCitation":"9","previouslyFormattedCitation":"&lt;sup&gt;9&lt;/sup&gt;"},"properties":{"noteIndex":0},"schema":"https://github.com/citation-style-language/schema/raw/master/csl-citation.json"}</w:instrText>
            </w:r>
            <w:r w:rsidRPr="009401CC">
              <w:rPr>
                <w:rFonts w:eastAsia="Times New Roman"/>
                <w:color w:val="000000"/>
                <w:sz w:val="20"/>
                <w:szCs w:val="20"/>
              </w:rPr>
              <w:fldChar w:fldCharType="separate"/>
            </w:r>
            <w:r w:rsidRPr="00176CAD">
              <w:rPr>
                <w:rFonts w:eastAsia="Times New Roman"/>
                <w:noProof/>
                <w:color w:val="000000"/>
                <w:sz w:val="20"/>
                <w:szCs w:val="20"/>
                <w:vertAlign w:val="superscript"/>
                <w:lang w:val="en-US"/>
              </w:rPr>
              <w:t>9</w:t>
            </w:r>
            <w:r w:rsidRPr="009401CC">
              <w:rPr>
                <w:rFonts w:eastAsia="Times New Roman"/>
                <w:color w:val="000000"/>
                <w:sz w:val="20"/>
                <w:szCs w:val="20"/>
              </w:rPr>
              <w:fldChar w:fldCharType="end"/>
            </w:r>
            <w:r w:rsidRPr="00AC3653">
              <w:rPr>
                <w:rFonts w:eastAsia="Times New Roman"/>
                <w:color w:val="000000"/>
                <w:sz w:val="20"/>
                <w:szCs w:val="20"/>
                <w:lang w:val="en-US"/>
              </w:rPr>
              <w:t xml:space="preserve"> </w:t>
            </w:r>
          </w:p>
        </w:tc>
        <w:tc>
          <w:tcPr>
            <w:tcW w:w="382" w:type="dxa"/>
            <w:shd w:val="clear" w:color="auto" w:fill="auto"/>
            <w:noWrap/>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2"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2"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U</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U</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U</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N</w:t>
            </w:r>
          </w:p>
        </w:tc>
        <w:tc>
          <w:tcPr>
            <w:tcW w:w="913" w:type="dxa"/>
            <w:shd w:val="clear" w:color="auto" w:fill="auto"/>
            <w:noWrap/>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Unclear</w:t>
            </w:r>
          </w:p>
        </w:tc>
      </w:tr>
      <w:tr w:rsidR="00C941F7" w:rsidRPr="00F022D2" w:rsidTr="00D10CED">
        <w:trPr>
          <w:trHeight w:val="284"/>
        </w:trPr>
        <w:tc>
          <w:tcPr>
            <w:tcW w:w="2706" w:type="dxa"/>
            <w:shd w:val="clear" w:color="auto" w:fill="auto"/>
            <w:noWrap/>
            <w:vAlign w:val="center"/>
            <w:hideMark/>
          </w:tcPr>
          <w:p w:rsidR="00C941F7" w:rsidRPr="00176CAD"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 xml:space="preserve">Li et al. 2015 </w:t>
            </w:r>
            <w:r w:rsidRPr="009401CC">
              <w:rPr>
                <w:rFonts w:eastAsia="Times New Roman"/>
                <w:color w:val="000000"/>
                <w:sz w:val="20"/>
                <w:szCs w:val="20"/>
              </w:rPr>
              <w:fldChar w:fldCharType="begin" w:fldLock="1"/>
            </w:r>
            <w:r>
              <w:rPr>
                <w:rFonts w:eastAsia="Times New Roman"/>
                <w:color w:val="000000"/>
                <w:sz w:val="20"/>
                <w:szCs w:val="20"/>
                <w:lang w:val="en-US"/>
              </w:rPr>
              <w:instrText>ADDIN CSL_CITATION {"citationItems":[{"id":"ITEM-1","itemData":{"DOI":"10.1161/STROKEAHA.115.009185","ISSN":"1524-4628","PMID":"26089330","abstract":"BACKGROUND AND PURPOSE: Early hematoma growth is not uncommon in patients with intracerebral hemorrhage and is an independent predictor of poor functional outcome. The purpose of our study was to report and validate the use of our newly identified computed tomographic (CT) blend sign in predicting early hematoma growth.\n\nMETHODS: Patients with intracerebral hemorrhage who underwent baseline CT scan within 6 hours after onset of symptoms were included. The follow-up CT scan was performed within 24 hours after the baseline CT scan. Significant hematoma growth was defined as an increase in hematoma volume of &gt;33% or an absolute increase of hematoma volume of &gt;12.5 mL. The blend sign on admission nonenhanced CT was defined as blending of hypoattenuating area and hyperattenuating region with a well-defined margin. Univariate and multivariable logistic regression analyses were performed to assess the relationship between the presence of the blend sign on nonenhanced admission CT and early hematoma growth.\n\nRESULTS: A total of 172 patients were included in our study. Blend sign was observed in 29 of 172 (16.9%) patients with intracerebral hemorrhage on baseline nonenhanced CT scan. Of the 61 patients with hematoma growth, 24 (39.3%) had blend sign on admission CT scan. Interobserver agreement for identifying blend sign was excellent between the 2 readers (κ=0.957). The multivariate logistic regression analysis demonstrated that the time to baseline CT scan, initial hematoma volume, and presence of blend sign on baseline CT scan to be independent predictors of early hematoma growth. The sensitivity, specificity, positive and negative predictive values of blend sign for predicting hematoma growth were 39.3%, 95.5%, 82.7%, and 74.1%, respectively.\n\nCONCLUSIONS: The CT blend sign could be easily identified on regular nonenhanced CT and is highly specific for predicting hematoma growth.","author":[{"dropping-particle":"","family":"Li","given":"Qi","non-dropping-particle":"","parse-names":false,"suffix":""},{"dropping-particle":"","family":"Zhang","given":"Gang","non-dropping-particle":"","parse-names":false,"suffix":""},{"dropping-particle":"","family":"Huang","given":"Yuan-Jun","non-dropping-particle":"","parse-names":false,"suffix":""},{"dropping-particle":"","family":"Dong","given":"Mei-Xue","non-dropping-particle":"","parse-names":false,"suffix":""},{"dropping-particle":"","family":"Lv","given":"Fa-Jin","non-dropping-particle":"","parse-names":false,"suffix":""},{"dropping-particle":"","family":"Wei","given":"Xiao","non-dropping-particle":"","parse-names":false,"suffix":""},{"dropping-particle":"","family":"Chen","given":"Jian-Jun","non-dropping-particle":"","parse-names":false,"suffix":""},{"dropping-particle":"","family":"Zhang","given":"Li-Juan","non-dropping-particle":"","parse-names":false,"suffix":""},{"dropping-particle":"","family":"Qin","given":"Xin-Yue","non-dropping-particle":"","parse-names":false,"suffix":""},{"dropping-particle":"","family":"Xie","given":"Peng","non-dropping-particle":"","parse-names":false,"suffix":""}],"container-title":"Stroke; a journal of cerebral circulation","id":"ITEM-1","issued":{"date-parts":[["2015","6","18"]]},"title":"Blend Sign on Computed Tomography: Novel and Reliable Predictor for Early Hematoma Growth in Patients with Intracerebral Hemorrhage.","type":"article-journal"},"uris":["http://www.mendeley.com/documents/?uuid=286e4cd7-1437-41bc-8d77-cb918be3689d"]}],"mendeley":{"formattedCitation":"&lt;sup&gt;10&lt;/sup&gt;","plainTextFormattedCitation":"10","previouslyFormattedCitation":"&lt;sup&gt;10&lt;/sup&gt;"},"properties":{"noteIndex":0},"schema":"https://github.com/citation-style-language/schema/raw/master/csl-citation.json"}</w:instrText>
            </w:r>
            <w:r w:rsidRPr="009401CC">
              <w:rPr>
                <w:rFonts w:eastAsia="Times New Roman"/>
                <w:color w:val="000000"/>
                <w:sz w:val="20"/>
                <w:szCs w:val="20"/>
              </w:rPr>
              <w:fldChar w:fldCharType="separate"/>
            </w:r>
            <w:r w:rsidRPr="00176CAD">
              <w:rPr>
                <w:rFonts w:eastAsia="Times New Roman"/>
                <w:noProof/>
                <w:color w:val="000000"/>
                <w:sz w:val="20"/>
                <w:szCs w:val="20"/>
                <w:vertAlign w:val="superscript"/>
                <w:lang w:val="en-US"/>
              </w:rPr>
              <w:t>10</w:t>
            </w:r>
            <w:r w:rsidRPr="009401CC">
              <w:rPr>
                <w:rFonts w:eastAsia="Times New Roman"/>
                <w:color w:val="000000"/>
                <w:sz w:val="20"/>
                <w:szCs w:val="20"/>
              </w:rPr>
              <w:fldChar w:fldCharType="end"/>
            </w:r>
            <w:r w:rsidRPr="00176CAD">
              <w:rPr>
                <w:rFonts w:eastAsia="Times New Roman"/>
                <w:color w:val="000000"/>
                <w:sz w:val="20"/>
                <w:szCs w:val="20"/>
                <w:lang w:val="en-US"/>
              </w:rPr>
              <w:t xml:space="preserve"> </w:t>
            </w:r>
          </w:p>
        </w:tc>
        <w:tc>
          <w:tcPr>
            <w:tcW w:w="382" w:type="dxa"/>
            <w:shd w:val="clear" w:color="auto" w:fill="auto"/>
            <w:noWrap/>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2"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2"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U</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U</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U</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N</w:t>
            </w:r>
          </w:p>
        </w:tc>
        <w:tc>
          <w:tcPr>
            <w:tcW w:w="913" w:type="dxa"/>
            <w:shd w:val="clear" w:color="auto" w:fill="auto"/>
            <w:noWrap/>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Unclear</w:t>
            </w:r>
          </w:p>
        </w:tc>
      </w:tr>
      <w:tr w:rsidR="00C941F7" w:rsidRPr="00F022D2" w:rsidTr="00D10CED">
        <w:trPr>
          <w:trHeight w:val="284"/>
        </w:trPr>
        <w:tc>
          <w:tcPr>
            <w:tcW w:w="2706" w:type="dxa"/>
            <w:shd w:val="clear" w:color="auto" w:fill="auto"/>
            <w:noWrap/>
            <w:vAlign w:val="center"/>
            <w:hideMark/>
          </w:tcPr>
          <w:p w:rsidR="00C941F7" w:rsidRPr="00AC3653"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 xml:space="preserve">Yao et al. 2015 </w:t>
            </w:r>
            <w:r w:rsidRPr="009401CC">
              <w:rPr>
                <w:rFonts w:eastAsia="Times New Roman"/>
                <w:color w:val="000000"/>
                <w:sz w:val="20"/>
                <w:szCs w:val="20"/>
              </w:rPr>
              <w:fldChar w:fldCharType="begin" w:fldLock="1"/>
            </w:r>
            <w:r>
              <w:rPr>
                <w:rFonts w:eastAsia="Times New Roman"/>
                <w:color w:val="000000"/>
                <w:sz w:val="20"/>
                <w:szCs w:val="20"/>
                <w:lang w:val="en-US"/>
              </w:rPr>
              <w:instrText>ADDIN CSL_CITATION {"citationItems":[{"id":"ITEM-1","itemData":{"DOI":"10.1007/s12028-015-0147-4","ISBN":"1202801501","ISSN":"15560961","PMID":"25963292","abstract":"BACKGROUND: Identification of intracerebral hemorrhage (ICH) patients at risk of  substantial hematoma expansion (SHE) could facilitate the selection of candidates likely to benefit from therapies aiming to minimize ICH growth. We aimed to develop a grading tool that can be quickly used during the hyperacute phase to predict the risk of SHE. METHODS: We reviewed data from 237 spontaneous ICH patients who had baseline head CT scan within 12 h of symptom onset and follow-up CT during the following 72 h. We performed logistic regression analyses to determine the predictors of SHE (defined as an absolute increase in ICH volume &gt;6 ml or an increase &gt;33 % on follow-up CT). We identified 6 predictors; each was assigned a point in the graphic interface of a nomogram which was used to construct a scoring system-The Hematoma Expansion Prediction (HEP) Score, varying from 0 to 18 points. We evaluated the ability of the model to predict the probability of SHE using c-statistics. RESULTS: SHE occurred in 74 patients (31.2 %). The final model to predict SHE included 6 variables: time from onset to baseline CT (&lt;3 vs. 3-12 h), history of dementia, current smoking, antiplatelet use, Glasgow Comma Scale score, and the presence of subarachnoid hemorrhage on baseline scan. The model had satisfactory discrimination ability with a bootstrap corrected c-index of 0.76 (95 % CI 0.69-0.83) and good calibration. Patients with a total HEP score &gt;3 were at greatest risk for SHE. CONCLUSIONS: We developed and internally validated a novel nomogram and an easy to use score which accurately predict the probability of SHE based on six easily obtainable parameters. This could be useful for treatment decision and stratification. External prospective validation of the HEP score is warranted before its application to other populations.","author":[{"dropping-particle":"","family":"Yao","given":"Xiaoying","non-dropping-particle":"","parse-names":false,"suffix":""},{"dropping-particle":"","family":"Xu","given":"Ye","non-dropping-particle":"","parse-names":false,"suffix":""},{"dropping-particle":"","family":"Siwila-Sackman","given":"Erica","non-dropping-particle":"","parse-names":false,"suffix":""},{"dropping-particle":"","family":"Wu","given":"Bo","non-dropping-particle":"","parse-names":false,"suffix":""},{"dropping-particle":"","family":"Selim","given":"Magdy","non-dropping-particle":"","parse-names":false,"suffix":""}],"container-title":"Neurocritical Care","id":"ITEM-1","issue":"2","issued":{"date-parts":[["2015"]]},"page":"179-187","title":"The HEP Score: A Nomogram-Derived Hematoma Expansion Prediction Scale","type":"article-journal","volume":"23"},"uris":["http://www.mendeley.com/documents/?uuid=6e466117-e7f1-4335-939b-f411b9640281"]}],"mendeley":{"formattedCitation":"&lt;sup&gt;11&lt;/sup&gt;","plainTextFormattedCitation":"11","previouslyFormattedCitation":"&lt;sup&gt;11&lt;/sup&gt;"},"properties":{"noteIndex":0},"schema":"https://github.com/citation-style-language/schema/raw/master/csl-citation.json"}</w:instrText>
            </w:r>
            <w:r w:rsidRPr="009401CC">
              <w:rPr>
                <w:rFonts w:eastAsia="Times New Roman"/>
                <w:color w:val="000000"/>
                <w:sz w:val="20"/>
                <w:szCs w:val="20"/>
              </w:rPr>
              <w:fldChar w:fldCharType="separate"/>
            </w:r>
            <w:r w:rsidRPr="00176CAD">
              <w:rPr>
                <w:rFonts w:eastAsia="Times New Roman"/>
                <w:noProof/>
                <w:color w:val="000000"/>
                <w:sz w:val="20"/>
                <w:szCs w:val="20"/>
                <w:vertAlign w:val="superscript"/>
                <w:lang w:val="en-US"/>
              </w:rPr>
              <w:t>11</w:t>
            </w:r>
            <w:r w:rsidRPr="009401CC">
              <w:rPr>
                <w:rFonts w:eastAsia="Times New Roman"/>
                <w:color w:val="000000"/>
                <w:sz w:val="20"/>
                <w:szCs w:val="20"/>
              </w:rPr>
              <w:fldChar w:fldCharType="end"/>
            </w:r>
            <w:r w:rsidRPr="00AC3653">
              <w:rPr>
                <w:rFonts w:eastAsia="Times New Roman"/>
                <w:color w:val="000000"/>
                <w:sz w:val="20"/>
                <w:szCs w:val="20"/>
                <w:lang w:val="en-US"/>
              </w:rPr>
              <w:t xml:space="preserve"> </w:t>
            </w:r>
          </w:p>
        </w:tc>
        <w:tc>
          <w:tcPr>
            <w:tcW w:w="382" w:type="dxa"/>
            <w:shd w:val="clear" w:color="auto" w:fill="auto"/>
            <w:noWrap/>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2"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2"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U</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U</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N</w:t>
            </w:r>
          </w:p>
        </w:tc>
        <w:tc>
          <w:tcPr>
            <w:tcW w:w="913" w:type="dxa"/>
            <w:shd w:val="clear" w:color="auto" w:fill="auto"/>
            <w:noWrap/>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Unclear</w:t>
            </w:r>
          </w:p>
        </w:tc>
      </w:tr>
      <w:tr w:rsidR="00C941F7" w:rsidRPr="00F022D2" w:rsidTr="00D10CED">
        <w:trPr>
          <w:trHeight w:val="284"/>
        </w:trPr>
        <w:tc>
          <w:tcPr>
            <w:tcW w:w="2706" w:type="dxa"/>
            <w:shd w:val="clear" w:color="auto" w:fill="auto"/>
            <w:noWrap/>
            <w:vAlign w:val="center"/>
            <w:hideMark/>
          </w:tcPr>
          <w:p w:rsidR="00C941F7" w:rsidRPr="00176CAD" w:rsidRDefault="00C941F7" w:rsidP="00D10CED">
            <w:pPr>
              <w:spacing w:after="0"/>
              <w:rPr>
                <w:rFonts w:eastAsia="Times New Roman"/>
                <w:color w:val="000000"/>
                <w:sz w:val="20"/>
                <w:szCs w:val="20"/>
                <w:lang w:val="en-US"/>
              </w:rPr>
            </w:pPr>
            <w:proofErr w:type="spellStart"/>
            <w:r w:rsidRPr="00AC3653">
              <w:rPr>
                <w:rFonts w:eastAsia="Times New Roman"/>
                <w:color w:val="000000"/>
                <w:sz w:val="20"/>
                <w:szCs w:val="20"/>
                <w:lang w:val="en-US"/>
              </w:rPr>
              <w:t>Boulouis</w:t>
            </w:r>
            <w:proofErr w:type="spellEnd"/>
            <w:r w:rsidRPr="00AC3653">
              <w:rPr>
                <w:rFonts w:eastAsia="Times New Roman"/>
                <w:color w:val="000000"/>
                <w:sz w:val="20"/>
                <w:szCs w:val="20"/>
                <w:lang w:val="en-US"/>
              </w:rPr>
              <w:t xml:space="preserve"> et al. 2016 </w:t>
            </w:r>
            <w:r w:rsidRPr="009401CC">
              <w:rPr>
                <w:rFonts w:eastAsia="Times New Roman"/>
                <w:color w:val="000000"/>
                <w:sz w:val="20"/>
                <w:szCs w:val="20"/>
              </w:rPr>
              <w:fldChar w:fldCharType="begin" w:fldLock="1"/>
            </w:r>
            <w:r>
              <w:rPr>
                <w:rFonts w:eastAsia="Times New Roman"/>
                <w:color w:val="000000"/>
                <w:sz w:val="20"/>
                <w:szCs w:val="20"/>
                <w:lang w:val="en-US"/>
              </w:rPr>
              <w:instrText>ADDIN CSL_CITATION {"citationItems":[{"id":"ITEM-1","itemData":{"DOI":"10.1001/jamaneurol.2016.1218","ISSN":"21686149","abstract":"© 2016 American Medical Association. All rights reserved. Importance Hematoma expansion is a potentially modifiable predictor of poor outcome following an acute intracerebral hemorrhage (ICH). The ability to identify patients with ICH who are likeliest to exper ience hematoma expansion and therefore likeliest to benefit from expansion-targeted treatments remains an unmet need. Hypodensities within an ICH detected by noncontrast computed tomography (NCCT) have been suggested as a predictor of hematoma expansion. OBJECTIVE To determine whether hypodense regions, irrespective of their specific patterns, are associated with hematoma expansion in patients with ICH. DESIGN, SETTING, AND PARTICIPANTS We analyzed a large cohort of 784 patients with ICH (the development cohort; 55.6%female), examined NCCT findings for any hypodensity, and replicated our findings on a different cohort of patients (the replication cohort; 52.7% female). Baseline and follow-up NCCT data from consecutive patients with ICH presenting to a tertiary care hospital between 1994 and 2015 were retrospectively analyzed. Data analyses were performed between December 2015 and January 2016. MAIN OUTCOMES AND MEASURES Hypodensitieswere analyzed by 2 independent blinded raters. The association between hypodensities and hematoma expansion ( &gt; 6 cm 3 or 33%of baseline volume) was determined by multivariable logistic regression after controlling for other variables associated with hematoma expansion in univariate analyses with P ≤.10. RESULTS A total of 1029 patients were included in the analysis. In the development and replication cohorts, 222 of 784 patients (28.3%) and 99 of 245 patients (40.4%; 321 of 1029 patients [31.2%]), respectively, had NCCT scans that demonstrated hypodensities at baseline (ê = 0.87 for interrater reliability). In univariate analyses, hypodensities were associated with hematoma expansion (86 of 163 patients with hematoma expansion had hypodensities [52.8%] , whereas 136 of 621 patients without hematoma expansion had hypodensities [21.9%]; P  &lt; .001). The association between hypodensities and hematoma expansion remained significant (odds ratio, 3.42 [95%CI, 2.21-5.31]; P  &lt; .001) in a multivariable model; other independent predictors of hematoma expansion were a CT angiography spot sign, a shorter time to CT, warfarin use, and older age. The independent predictive value of hypodensities was again demonstrated in the replication cohort (odds ratio, 4.37 [95%CI, 2.05-9.62];…","author":[{"dropping-particle":"","family":"Boulouis","given":"G.","non-dropping-particle":"","parse-names":false,"suffix":""},{"dropping-particle":"","family":"Morotti","given":"A.","non-dropping-particle":"","parse-names":false,"suffix":""},{"dropping-particle":"","family":"Bart Brouwers","given":"H.","non-dropping-particle":"","parse-names":false,"suffix":""},{"dropping-particle":"","family":"Charidimou","given":"A.","non-dropping-particle":"","parse-names":false,"suffix":""},{"dropping-particle":"","family":"Jessel","given":"M.J.","non-dropping-particle":"","parse-names":false,"suffix":""},{"dropping-particle":"","family":"Auriel","given":"E.","non-dropping-particle":"","parse-names":false,"suffix":""},{"dropping-particle":"","family":"Pontes-Neto","given":"O.","non-dropping-particle":"","parse-names":false,"suffix":""},{"dropping-particle":"","family":"Ayres","given":"A.","non-dropping-particle":"","parse-names":false,"suffix":""},{"dropping-particle":"","family":"Vashkevich","given":"A.","non-dropping-particle":"","parse-names":false,"suffix":""},{"dropping-particle":"","family":"Schwab","given":"K.M.","non-dropping-particle":"","parse-names":false,"suffix":""},{"dropping-particle":"","family":"Rosand","given":"J.","non-dropping-particle":"","parse-names":false,"suffix":""},{"dropping-particle":"","family":"Viswanathan","given":"A.","non-dropping-particle":"","parse-names":false,"suffix":""},{"dropping-particle":"","family":"Gurol","given":"M.E.","non-dropping-particle":"","parse-names":false,"suffix":""},{"dropping-particle":"","family":"Greenberg","given":"S.M.","non-dropping-particle":"","parse-names":false,"suffix":""},{"dropping-particle":"","family":"Goldstein","given":"J.N.","non-dropping-particle":"","parse-names":false,"suffix":""}],"container-title":"JAMA Neurology","id":"ITEM-1","issue":"8","issued":{"date-parts":[["2016"]]},"title":"Association between hypodensities detected by computed tomography and hematoma expansion in patients with intracerebral hemorrhage","type":"article-journal","volume":"73"},"uris":["http://www.mendeley.com/documents/?uuid=d773bf4a-8de7-3da8-b95f-26974b581c15"]}],"mendeley":{"formattedCitation":"&lt;sup&gt;12&lt;/sup&gt;","plainTextFormattedCitation":"12","previouslyFormattedCitation":"&lt;sup&gt;12&lt;/sup&gt;"},"properties":{"noteIndex":0},"schema":"https://github.com/citation-style-language/schema/raw/master/csl-citation.json"}</w:instrText>
            </w:r>
            <w:r w:rsidRPr="009401CC">
              <w:rPr>
                <w:rFonts w:eastAsia="Times New Roman"/>
                <w:color w:val="000000"/>
                <w:sz w:val="20"/>
                <w:szCs w:val="20"/>
              </w:rPr>
              <w:fldChar w:fldCharType="separate"/>
            </w:r>
            <w:r w:rsidRPr="00176CAD">
              <w:rPr>
                <w:rFonts w:eastAsia="Times New Roman"/>
                <w:noProof/>
                <w:color w:val="000000"/>
                <w:sz w:val="20"/>
                <w:szCs w:val="20"/>
                <w:vertAlign w:val="superscript"/>
                <w:lang w:val="en-US"/>
              </w:rPr>
              <w:t>12</w:t>
            </w:r>
            <w:r w:rsidRPr="009401CC">
              <w:rPr>
                <w:rFonts w:eastAsia="Times New Roman"/>
                <w:color w:val="000000"/>
                <w:sz w:val="20"/>
                <w:szCs w:val="20"/>
              </w:rPr>
              <w:fldChar w:fldCharType="end"/>
            </w:r>
            <w:r w:rsidRPr="00176CAD">
              <w:rPr>
                <w:rFonts w:eastAsia="Times New Roman"/>
                <w:color w:val="000000"/>
                <w:sz w:val="20"/>
                <w:szCs w:val="20"/>
                <w:lang w:val="en-US"/>
              </w:rPr>
              <w:t xml:space="preserve"> </w:t>
            </w:r>
          </w:p>
        </w:tc>
        <w:tc>
          <w:tcPr>
            <w:tcW w:w="382" w:type="dxa"/>
            <w:shd w:val="clear" w:color="auto" w:fill="auto"/>
            <w:noWrap/>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2"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2"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U</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U</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N</w:t>
            </w:r>
          </w:p>
        </w:tc>
        <w:tc>
          <w:tcPr>
            <w:tcW w:w="913" w:type="dxa"/>
            <w:shd w:val="clear" w:color="auto" w:fill="auto"/>
            <w:noWrap/>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Unclear</w:t>
            </w:r>
          </w:p>
        </w:tc>
      </w:tr>
      <w:tr w:rsidR="00C941F7" w:rsidRPr="00F022D2" w:rsidTr="00D10CED">
        <w:trPr>
          <w:trHeight w:val="284"/>
        </w:trPr>
        <w:tc>
          <w:tcPr>
            <w:tcW w:w="2706" w:type="dxa"/>
            <w:shd w:val="clear" w:color="auto" w:fill="auto"/>
            <w:noWrap/>
            <w:vAlign w:val="center"/>
            <w:hideMark/>
          </w:tcPr>
          <w:p w:rsidR="00C941F7" w:rsidRPr="00176CAD" w:rsidRDefault="00C941F7" w:rsidP="00D10CED">
            <w:pPr>
              <w:spacing w:after="0"/>
              <w:rPr>
                <w:rFonts w:eastAsia="Times New Roman"/>
                <w:color w:val="000000"/>
                <w:sz w:val="20"/>
                <w:szCs w:val="20"/>
                <w:lang w:val="en-US"/>
              </w:rPr>
            </w:pPr>
            <w:proofErr w:type="spellStart"/>
            <w:r w:rsidRPr="00176CAD">
              <w:rPr>
                <w:rFonts w:eastAsia="Times New Roman"/>
                <w:color w:val="000000"/>
                <w:sz w:val="20"/>
                <w:szCs w:val="20"/>
                <w:lang w:val="en-US"/>
              </w:rPr>
              <w:t>Boulouis</w:t>
            </w:r>
            <w:proofErr w:type="spellEnd"/>
            <w:r w:rsidRPr="00176CAD">
              <w:rPr>
                <w:rFonts w:eastAsia="Times New Roman"/>
                <w:color w:val="000000"/>
                <w:sz w:val="20"/>
                <w:szCs w:val="20"/>
                <w:lang w:val="en-US"/>
              </w:rPr>
              <w:t xml:space="preserve"> et al. 2016 </w:t>
            </w:r>
            <w:r w:rsidRPr="009401CC">
              <w:rPr>
                <w:rFonts w:eastAsia="Times New Roman"/>
                <w:color w:val="000000"/>
                <w:sz w:val="20"/>
                <w:szCs w:val="20"/>
              </w:rPr>
              <w:fldChar w:fldCharType="begin" w:fldLock="1"/>
            </w:r>
            <w:r>
              <w:rPr>
                <w:rFonts w:eastAsia="Times New Roman"/>
                <w:color w:val="000000"/>
                <w:sz w:val="20"/>
                <w:szCs w:val="20"/>
                <w:lang w:val="en-US"/>
              </w:rPr>
              <w:instrText>ADDIN CSL_CITATION {"citationItems":[{"id":"ITEM-1","itemData":{"DOI":"10.1161/STROKEAHA.116.014425","ISSN":"15244628","abstract":"© 2016 American Heart Association, Inc. Background and Purpose - Noncontrast computed tomographic (CT) hypodensities have been shown to be associated with hematoma expansion in intracerebral hemorrhage (ICH), but their impact on functional outcome is yet to be determined. We evaluated whether baseline noncontrast CT hypodensities are associated with poor clinical outcome. Methods - We performed a retrospective review of a prospectively collected cohort of consecutive patients with primary ICH presenting to a single academic medical center between 1994 and 2016. The presence of CT hypodensities was assessed by 2 independent raters on the baseline CT. Unfavorable outcome was defined as a modified Rankin score  &gt; 3 at 90 days. The associations between CT hypodensities and unfavorable outcome were investigated using uni- and multivariable logistic regression models. Results - During the study period, 1342 patients presented with ICH and 800 met restrictive inclusion criteria (baseline CT available for review, and 90-day outcome available). Three hundred and four (38%) patients showed hypodensities on CT, and 520 (65%) patients experienced unfavorable outcome. In univariate analysis, patients with unfavorable outcome were more likely to demonstrate hypodensities (48% versus 20%; P &lt; 0.0001). After adjustment for age, admission Glasgow coma scale, warfarin use, intraventricular hemorrhage, baseline ICH volume, and location, CT hypodensities were found to be independently associated with an increase in the odds of unfavorable outcome (odds ratio 1.70, 95% confidence interval [1.10-2.65]; P=0.018). Conclusions - The presence of noncontract CT hypodensities at baseline independently predicts poor outcome and comes as a useful and widely available addition to our ability to predict ICH patients' clinical evolution.","author":[{"dropping-particle":"","family":"Boulouis","given":"G.","non-dropping-particle":"","parse-names":false,"suffix":""},{"dropping-particle":"","family":"Morotti","given":"A.","non-dropping-particle":"","parse-names":false,"suffix":""},{"dropping-particle":"","family":"Brouwers","given":"H.B.","non-dropping-particle":"","parse-names":false,"suffix":""},{"dropping-particle":"","family":"Charidimou","given":"A.","non-dropping-particle":"","parse-names":false,"suffix":""},{"dropping-particle":"","family":"Jessel","given":"M.J.","non-dropping-particle":"","parse-names":false,"suffix":""},{"dropping-particle":"","family":"Auriel","given":"E.","non-dropping-particle":"","parse-names":false,"suffix":""},{"dropping-particle":"","family":"Pontes-Neto","given":"O.","non-dropping-particle":"","parse-names":false,"suffix":""},{"dropping-particle":"","family":"Ayres","given":"A.","non-dropping-particle":"","parse-names":false,"suffix":""},{"dropping-particle":"","family":"Vashkevich","given":"A.","non-dropping-particle":"","parse-names":false,"suffix":""},{"dropping-particle":"","family":"Schwab","given":"K.M.","non-dropping-particle":"","parse-names":false,"suffix":""},{"dropping-particle":"","family":"Rosand","given":"J.","non-dropping-particle":"","parse-names":false,"suffix":""},{"dropping-particle":"","family":"Viswanathan","given":"A.","non-dropping-particle":"","parse-names":false,"suffix":""},{"dropping-particle":"","family":"Gurol","given":"M.E.","non-dropping-particle":"","parse-names":false,"suffix":""},{"dropping-particle":"","family":"Greenberg","given":"S.M.","non-dropping-particle":"","parse-names":false,"suffix":""},{"dropping-particle":"","family":"Goldstein","given":"J.N.","non-dropping-particle":"","parse-names":false,"suffix":""}],"container-title":"Stroke","id":"ITEM-1","issue":"10","issued":{"date-parts":[["2016"]]},"title":"Noncontrast Computed Tomography Hypodensities Predict Poor Outcome in Intracerebral Hemorrhage Patients","type":"article-journal","volume":"47"},"uris":["http://www.mendeley.com/documents/?uuid=d3886099-d926-3458-96fe-c76145abe99b"]}],"mendeley":{"formattedCitation":"&lt;sup&gt;13&lt;/sup&gt;","plainTextFormattedCitation":"13","previouslyFormattedCitation":"&lt;sup&gt;13&lt;/sup&gt;"},"properties":{"noteIndex":0},"schema":"https://github.com/citation-style-language/schema/raw/master/csl-citation.json"}</w:instrText>
            </w:r>
            <w:r w:rsidRPr="009401CC">
              <w:rPr>
                <w:rFonts w:eastAsia="Times New Roman"/>
                <w:color w:val="000000"/>
                <w:sz w:val="20"/>
                <w:szCs w:val="20"/>
              </w:rPr>
              <w:fldChar w:fldCharType="separate"/>
            </w:r>
            <w:r w:rsidRPr="00176CAD">
              <w:rPr>
                <w:rFonts w:eastAsia="Times New Roman"/>
                <w:noProof/>
                <w:color w:val="000000"/>
                <w:sz w:val="20"/>
                <w:szCs w:val="20"/>
                <w:vertAlign w:val="superscript"/>
                <w:lang w:val="en-US"/>
              </w:rPr>
              <w:t>13</w:t>
            </w:r>
            <w:r w:rsidRPr="009401CC">
              <w:rPr>
                <w:rFonts w:eastAsia="Times New Roman"/>
                <w:color w:val="000000"/>
                <w:sz w:val="20"/>
                <w:szCs w:val="20"/>
              </w:rPr>
              <w:fldChar w:fldCharType="end"/>
            </w:r>
          </w:p>
        </w:tc>
        <w:tc>
          <w:tcPr>
            <w:tcW w:w="382" w:type="dxa"/>
            <w:shd w:val="clear" w:color="auto" w:fill="auto"/>
            <w:noWrap/>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2"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2"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U</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U</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N</w:t>
            </w:r>
          </w:p>
        </w:tc>
        <w:tc>
          <w:tcPr>
            <w:tcW w:w="913" w:type="dxa"/>
            <w:shd w:val="clear" w:color="auto" w:fill="auto"/>
            <w:noWrap/>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Unclear</w:t>
            </w:r>
          </w:p>
        </w:tc>
      </w:tr>
      <w:tr w:rsidR="00C941F7" w:rsidRPr="00F022D2" w:rsidTr="00D10CED">
        <w:trPr>
          <w:trHeight w:val="284"/>
        </w:trPr>
        <w:tc>
          <w:tcPr>
            <w:tcW w:w="2706" w:type="dxa"/>
            <w:shd w:val="clear" w:color="auto" w:fill="auto"/>
            <w:noWrap/>
            <w:vAlign w:val="center"/>
            <w:hideMark/>
          </w:tcPr>
          <w:p w:rsidR="00C941F7" w:rsidRPr="00AC3653" w:rsidRDefault="00C941F7" w:rsidP="00D10CED">
            <w:pPr>
              <w:spacing w:after="0"/>
              <w:rPr>
                <w:rFonts w:eastAsia="Times New Roman"/>
                <w:color w:val="000000"/>
                <w:sz w:val="20"/>
                <w:szCs w:val="20"/>
                <w:lang w:val="en-US"/>
              </w:rPr>
            </w:pPr>
            <w:proofErr w:type="spellStart"/>
            <w:r w:rsidRPr="00176CAD">
              <w:rPr>
                <w:rFonts w:eastAsia="Times New Roman"/>
                <w:color w:val="000000"/>
                <w:sz w:val="20"/>
                <w:szCs w:val="20"/>
                <w:lang w:val="en-US"/>
              </w:rPr>
              <w:t>Delcourt</w:t>
            </w:r>
            <w:proofErr w:type="spellEnd"/>
            <w:r w:rsidRPr="00176CAD">
              <w:rPr>
                <w:rFonts w:eastAsia="Times New Roman"/>
                <w:color w:val="000000"/>
                <w:sz w:val="20"/>
                <w:szCs w:val="20"/>
                <w:lang w:val="en-US"/>
              </w:rPr>
              <w:t xml:space="preserve"> et al. 2016 </w:t>
            </w:r>
            <w:r w:rsidRPr="009401CC">
              <w:rPr>
                <w:rFonts w:eastAsia="Times New Roman"/>
                <w:color w:val="000000"/>
                <w:sz w:val="20"/>
                <w:szCs w:val="20"/>
              </w:rPr>
              <w:fldChar w:fldCharType="begin" w:fldLock="1"/>
            </w:r>
            <w:r>
              <w:rPr>
                <w:rFonts w:eastAsia="Times New Roman"/>
                <w:color w:val="000000"/>
                <w:sz w:val="20"/>
                <w:szCs w:val="20"/>
                <w:lang w:val="en-US"/>
              </w:rPr>
              <w:instrText>ADDIN CSL_CITATION {"citationItems":[{"id":"ITEM-1","itemData":{"DOI":"10.1161/STROKEAHA.116.012921","ISSN":"0039-2499, 1524-4628","PMID":"27073236","abstract":"Background and Purpose—In patients with acute intracerebral hemorrhage (ICH), the shape and density of the hematoma are associated with its subsequent growth, but the impact of these parameters on clinical outcome is uncertain.\nMethods—Baseline computed tomographic scans and clinical data were obtained in the Intensive Blood Pressure Reduction in Acute Intracerebral Hemorrhage Trial (INTERACT2). Three independent neurologists blind to clinical data assessed ICH for shape and density using a previously described scale. Shape was defined as irregular when the ICH had ≥2 extra lesions added to the ellipsoid-shaped ICH. Density was heterogeneous when there were ≥3 low-density lesions within the ICH. Outcome measures were death and major disability (modified Rankin scale score of 3–5), combined and separate at 90-day postrandomization. Multivariable logistic regression models were used to determine the significance of hematoma characteristics on outcome.\nResults—There were 2066 patient computed tomographic scans included in the analysis, with 46% and 38% having irregular and heterogeneous ICH, respectively. Irregular shape was independently associated with death/major disability (adjusted odds ratio, 1.60; 95% confidence interval [CI], 1.29–1.98) and major disability alone (adjusted odds ratio, 1.60; 95% CI, 1.31–1.95), but not with death alone (adjusted odds ratio, 0.97; 95% CI, 0.68–1.39). Heterogeneous density was not associated with clinical outcomes (adjusted odds ratio, 1.06; 95% CI, 0.85–1.33), 1.04 (95% CI, 0.73–1.48), and 1.14 (95% CI, 0.93–1.39), respectively, for death/major disability, death alone, and disability alone).\nConclusions—Irregular shape, but not heterogeneous density, is independently associated with poor outcome after ICH.\nClinical Trial Registration—URL: http://www.clinicaltrials.gov. Unique identifier: NCT00716079.","author":[{"dropping-particle":"","family":"Delcourt","given":"Candice","non-dropping-particle":"","parse-names":false,"suffix":""},{"dropping-particle":"","family":"Zhang","given":"Shihong","non-dropping-particle":"","parse-names":false,"suffix":""},{"dropping-particle":"","family":"Arima","given":"Hisatomi","non-dropping-particle":"","parse-names":false,"suffix":""},{"dropping-particle":"","family":"Sato","given":"Shoichiro","non-dropping-particle":"","parse-names":false,"suffix":""},{"dropping-particle":"","family":"Salman","given":"Rustam Al-Shahi","non-dropping-particle":"","parse-names":false,"suffix":""},{"dropping-particle":"","family":"Wang","given":"Xia","non-dropping-particle":"","parse-names":false,"suffix":""},{"dropping-particle":"","family":"Davies","given":"Leo","non-dropping-particle":"","parse-names":false,"suffix":""},{"dropping-particle":"","family":"Stapf","given":"Christian","non-dropping-particle":"","parse-names":false,"suffix":""},{"dropping-particle":"","family":"Robinson","given":"Thompson","non-dropping-particle":"","parse-names":false,"suffix":""},{"dropping-particle":"","family":"Lavados","given":"Pablo M.","non-dropping-particle":"","parse-names":false,"suffix":""},{"dropping-particle":"","family":"Chalmers","given":"John","non-dropping-particle":"","parse-names":false,"suffix":""},{"dropping-particle":"","family":"Heeley","given":"Emma","non-dropping-particle":"","parse-names":false,"suffix":""},{"dropping-particle":"","family":"Liu","given":"Ming","non-dropping-particle":"","parse-names":false,"suffix":""},{"dropping-particle":"","family":"Lindley","given":"Richard I.","non-dropping-particle":"","parse-names":false,"suffix":""},{"dropping-particle":"","family":"Anderson","given":"Craig S.","non-dropping-particle":"","parse-names":false,"suffix":""},{"dropping-particle":"","family":"Investigators","given":"for the INTERACT2","non-dropping-particle":"","parse-names":false,"suffix":""}],"container-title":"Stroke","id":"ITEM-1","issue":"5","issued":{"date-parts":[["2016","5"]]},"language":"en","page":"1227-1232","title":"Significance of Hematoma Shape and Density in Intracerebral Hemorrhage The Intensive Blood Pressure Reduction in Acute Intracerebral Hemorrhage Trial Study","type":"article-journal","volume":"47"},"uris":["http://www.mendeley.com/documents/?uuid=65a3c181-91e4-4608-8376-20655f25de6f"]}],"mendeley":{"formattedCitation":"&lt;sup&gt;14&lt;/sup&gt;","plainTextFormattedCitation":"14","previouslyFormattedCitation":"&lt;sup&gt;14&lt;/sup&gt;"},"properties":{"noteIndex":0},"schema":"https://github.com/citation-style-language/schema/raw/master/csl-citation.json"}</w:instrText>
            </w:r>
            <w:r w:rsidRPr="009401CC">
              <w:rPr>
                <w:rFonts w:eastAsia="Times New Roman"/>
                <w:color w:val="000000"/>
                <w:sz w:val="20"/>
                <w:szCs w:val="20"/>
              </w:rPr>
              <w:fldChar w:fldCharType="separate"/>
            </w:r>
            <w:r w:rsidRPr="00176CAD">
              <w:rPr>
                <w:rFonts w:eastAsia="Times New Roman"/>
                <w:noProof/>
                <w:color w:val="000000"/>
                <w:sz w:val="20"/>
                <w:szCs w:val="20"/>
                <w:vertAlign w:val="superscript"/>
                <w:lang w:val="en-US"/>
              </w:rPr>
              <w:t>14</w:t>
            </w:r>
            <w:r w:rsidRPr="009401CC">
              <w:rPr>
                <w:rFonts w:eastAsia="Times New Roman"/>
                <w:color w:val="000000"/>
                <w:sz w:val="20"/>
                <w:szCs w:val="20"/>
              </w:rPr>
              <w:fldChar w:fldCharType="end"/>
            </w:r>
            <w:r w:rsidRPr="00AC3653">
              <w:rPr>
                <w:rFonts w:eastAsia="Times New Roman"/>
                <w:color w:val="000000"/>
                <w:sz w:val="20"/>
                <w:szCs w:val="20"/>
                <w:lang w:val="en-US"/>
              </w:rPr>
              <w:t xml:space="preserve"> </w:t>
            </w:r>
          </w:p>
        </w:tc>
        <w:tc>
          <w:tcPr>
            <w:tcW w:w="382" w:type="dxa"/>
            <w:shd w:val="clear" w:color="auto" w:fill="auto"/>
            <w:noWrap/>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2"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2"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U</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U</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N</w:t>
            </w:r>
          </w:p>
        </w:tc>
        <w:tc>
          <w:tcPr>
            <w:tcW w:w="913" w:type="dxa"/>
            <w:shd w:val="clear" w:color="auto" w:fill="auto"/>
            <w:noWrap/>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Low</w:t>
            </w:r>
          </w:p>
        </w:tc>
      </w:tr>
      <w:tr w:rsidR="00C941F7" w:rsidRPr="00F022D2" w:rsidTr="00D10CED">
        <w:trPr>
          <w:trHeight w:val="284"/>
        </w:trPr>
        <w:tc>
          <w:tcPr>
            <w:tcW w:w="2706" w:type="dxa"/>
            <w:shd w:val="clear" w:color="auto" w:fill="auto"/>
            <w:noWrap/>
            <w:vAlign w:val="center"/>
            <w:hideMark/>
          </w:tcPr>
          <w:p w:rsidR="00C941F7" w:rsidRPr="00176CAD"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 xml:space="preserve">Li et al. 2016 </w:t>
            </w:r>
            <w:r w:rsidRPr="009401CC">
              <w:rPr>
                <w:rFonts w:eastAsia="Times New Roman"/>
                <w:color w:val="000000"/>
                <w:sz w:val="20"/>
                <w:szCs w:val="20"/>
              </w:rPr>
              <w:fldChar w:fldCharType="begin" w:fldLock="1"/>
            </w:r>
            <w:r>
              <w:rPr>
                <w:rFonts w:eastAsia="Times New Roman"/>
                <w:color w:val="000000"/>
                <w:sz w:val="20"/>
                <w:szCs w:val="20"/>
                <w:lang w:val="en-US"/>
              </w:rPr>
              <w:instrText>ADDIN CSL_CITATION {"citationItems":[{"id":"ITEM-1","itemData":{"DOI":"10.1161/STROKEAHA.116.013186","ISSN":"15244628","PMID":"27174523","abstract":"BACKGROUND AND PURPOSE Early hematoma growth is a devastating neurological complication after intracerebral hemorrhage. We aim to report and evaluate the usefulness of computed tomography (CT) black hole sign in predicting hematoma growth in patients with intracerebral hemorrhage. METHODS Patients with intracerebral hemorrhage were screened for the presence of CT black hole sign on admission head CT performed within 6 hours after onset of symptoms. The black hole sign was defined as hypoattenuatting area encapsulated within the hyperattenuating hematoma with a clearly defined border. The sensitivity, specificity, and positive and negative predictive values of CT black hole sign in predicting hematoma expansion were calculated. Logistic regression analyses were used to assess the presence of the black hole sign and early hematoma growth. RESULTS A total of 206 patients were enrolled. Black hole sign was found in 30 (14.6%) of 206 patients on the baseline CT scan. The black hole sign was more common in patients with hematoma growth (31.9%) than those without hematoma growth (5.8%; P&lt;0.001). The sensitivity, specificity, positive predictive value, and negative predictive value of back hole sign in predicting early hematoma growth were 31.9%, 94.1%, 73.3%, and 73.2%, respectively. The time-to-admission CT scan, baseline hematoma volume, and the presence of black hole sign on admission CT independently predict hematoma growth in multivariate model. CONCLUSIONS The CT black hole sign could be used as a simple and easy-to-use predictor for early hematoma growth in patients with intracerebral hemorrhage.","author":[{"dropping-particle":"","family":"Li","given":"Qi","non-dropping-particle":"","parse-names":false,"suffix":""},{"dropping-particle":"","family":"Zhang","given":"Gang","non-dropping-particle":"","parse-names":false,"suffix":""},{"dropping-particle":"","family":"Xiong","given":"Xin","non-dropping-particle":"","parse-names":false,"suffix":""},{"dropping-particle":"","family":"Wang","given":"Xing Chen","non-dropping-particle":"","parse-names":false,"suffix":""},{"dropping-particle":"","family":"Yang","given":"Wen Song","non-dropping-particle":"","parse-names":false,"suffix":""},{"dropping-particle":"","family":"Li","given":"Ke Wei","non-dropping-particle":"","parse-names":false,"suffix":""},{"dropping-particle":"","family":"Wei","given":"Xiao","non-dropping-particle":"","parse-names":false,"suffix":""},{"dropping-particle":"","family":"Xie","given":"Peng","non-dropping-particle":"","parse-names":false,"suffix":""}],"container-title":"Stroke","id":"ITEM-1","issue":"7","issued":{"date-parts":[["2016"]]},"page":"1777-1781","title":"Black hole sign: Novel imaging marker that predicts hematoma growth in patients with intracerebral hemorrhage","type":"article-journal","volume":"47"},"uris":["http://www.mendeley.com/documents/?uuid=f09b326d-ad0b-4965-988f-5b07bc97aad3"]}],"mendeley":{"formattedCitation":"&lt;sup&gt;15&lt;/sup&gt;","plainTextFormattedCitation":"15","previouslyFormattedCitation":"&lt;sup&gt;15&lt;/sup&gt;"},"properties":{"noteIndex":0},"schema":"https://github.com/citation-style-language/schema/raw/master/csl-citation.json"}</w:instrText>
            </w:r>
            <w:r w:rsidRPr="009401CC">
              <w:rPr>
                <w:rFonts w:eastAsia="Times New Roman"/>
                <w:color w:val="000000"/>
                <w:sz w:val="20"/>
                <w:szCs w:val="20"/>
              </w:rPr>
              <w:fldChar w:fldCharType="separate"/>
            </w:r>
            <w:r w:rsidRPr="00176CAD">
              <w:rPr>
                <w:rFonts w:eastAsia="Times New Roman"/>
                <w:noProof/>
                <w:color w:val="000000"/>
                <w:sz w:val="20"/>
                <w:szCs w:val="20"/>
                <w:vertAlign w:val="superscript"/>
                <w:lang w:val="en-US"/>
              </w:rPr>
              <w:t>15</w:t>
            </w:r>
            <w:r w:rsidRPr="009401CC">
              <w:rPr>
                <w:rFonts w:eastAsia="Times New Roman"/>
                <w:color w:val="000000"/>
                <w:sz w:val="20"/>
                <w:szCs w:val="20"/>
              </w:rPr>
              <w:fldChar w:fldCharType="end"/>
            </w:r>
            <w:r w:rsidRPr="00176CAD">
              <w:rPr>
                <w:rFonts w:eastAsia="Times New Roman"/>
                <w:color w:val="000000"/>
                <w:sz w:val="20"/>
                <w:szCs w:val="20"/>
                <w:lang w:val="en-US"/>
              </w:rPr>
              <w:t xml:space="preserve"> </w:t>
            </w:r>
          </w:p>
        </w:tc>
        <w:tc>
          <w:tcPr>
            <w:tcW w:w="382" w:type="dxa"/>
            <w:shd w:val="clear" w:color="auto" w:fill="auto"/>
            <w:noWrap/>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2"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2"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U</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U</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U</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N</w:t>
            </w:r>
          </w:p>
        </w:tc>
        <w:tc>
          <w:tcPr>
            <w:tcW w:w="913" w:type="dxa"/>
            <w:shd w:val="clear" w:color="auto" w:fill="auto"/>
            <w:noWrap/>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Unclear</w:t>
            </w:r>
          </w:p>
        </w:tc>
      </w:tr>
      <w:tr w:rsidR="00C941F7" w:rsidRPr="00F022D2" w:rsidTr="00D10CED">
        <w:trPr>
          <w:trHeight w:val="284"/>
        </w:trPr>
        <w:tc>
          <w:tcPr>
            <w:tcW w:w="2706" w:type="dxa"/>
            <w:shd w:val="clear" w:color="auto" w:fill="auto"/>
            <w:noWrap/>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 xml:space="preserve">Li and Yang 2017 </w:t>
            </w:r>
            <w:r w:rsidRPr="009401CC">
              <w:rPr>
                <w:rFonts w:eastAsia="Times New Roman"/>
                <w:color w:val="000000"/>
                <w:sz w:val="20"/>
                <w:szCs w:val="20"/>
              </w:rPr>
              <w:fldChar w:fldCharType="begin" w:fldLock="1"/>
            </w:r>
            <w:r>
              <w:rPr>
                <w:rFonts w:eastAsia="Times New Roman"/>
                <w:color w:val="000000"/>
                <w:sz w:val="20"/>
                <w:szCs w:val="20"/>
                <w:lang w:val="en-US"/>
              </w:rPr>
              <w:instrText>ADDIN CSL_CITATION {"citationItems":[{"id":"ITEM-1","itemData":{"DOI":"10.5582/bst.2017.01283","ISSN":"18817823","author":[{"dropping-particle":"","family":"Li","given":"Ruili","non-dropping-particle":"","parse-names":false,"suffix":""},{"dropping-particle":"","family":"Yang","given":"Mingfei","non-dropping-particle":"","parse-names":false,"suffix":""}],"container-title":"BioScience Trends","id":"ITEM-1","issue":"6","issued":{"date-parts":[["2017"]]},"page":"682-687","title":"A comparative study of the blend sign and the black hole sign on CT as a predictor of hematoma expansion in spontaneous intracerebral hemorrhage","type":"article-journal","volume":"11"},"uris":["http://www.mendeley.com/documents/?uuid=4a4f1132-2cff-44de-8be5-6b79cc5b597b"]}],"mendeley":{"formattedCitation":"&lt;sup&gt;16&lt;/sup&gt;","plainTextFormattedCitation":"16","previouslyFormattedCitation":"&lt;sup&gt;16&lt;/sup&gt;"},"properties":{"noteIndex":0},"schema":"https://github.com/citation-style-language/schema/raw/master/csl-citation.json"}</w:instrText>
            </w:r>
            <w:r w:rsidRPr="009401CC">
              <w:rPr>
                <w:rFonts w:eastAsia="Times New Roman"/>
                <w:color w:val="000000"/>
                <w:sz w:val="20"/>
                <w:szCs w:val="20"/>
              </w:rPr>
              <w:fldChar w:fldCharType="separate"/>
            </w:r>
            <w:r w:rsidRPr="00176CAD">
              <w:rPr>
                <w:rFonts w:eastAsia="Times New Roman"/>
                <w:noProof/>
                <w:color w:val="000000"/>
                <w:sz w:val="20"/>
                <w:szCs w:val="20"/>
                <w:vertAlign w:val="superscript"/>
                <w:lang w:val="en-US"/>
              </w:rPr>
              <w:t>16</w:t>
            </w:r>
            <w:r w:rsidRPr="009401CC">
              <w:rPr>
                <w:rFonts w:eastAsia="Times New Roman"/>
                <w:color w:val="000000"/>
                <w:sz w:val="20"/>
                <w:szCs w:val="20"/>
              </w:rPr>
              <w:fldChar w:fldCharType="end"/>
            </w:r>
            <w:r w:rsidRPr="00176CAD">
              <w:rPr>
                <w:rFonts w:eastAsia="Times New Roman"/>
                <w:color w:val="000000"/>
                <w:sz w:val="20"/>
                <w:szCs w:val="20"/>
                <w:lang w:val="en-US"/>
              </w:rPr>
              <w:t xml:space="preserve"> </w:t>
            </w:r>
          </w:p>
        </w:tc>
        <w:tc>
          <w:tcPr>
            <w:tcW w:w="382" w:type="dxa"/>
            <w:shd w:val="clear" w:color="auto" w:fill="auto"/>
            <w:noWrap/>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2"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2"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U</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U</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U</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N</w:t>
            </w:r>
          </w:p>
        </w:tc>
        <w:tc>
          <w:tcPr>
            <w:tcW w:w="913" w:type="dxa"/>
            <w:shd w:val="clear" w:color="auto" w:fill="auto"/>
            <w:noWrap/>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Unclear</w:t>
            </w:r>
          </w:p>
        </w:tc>
      </w:tr>
      <w:tr w:rsidR="00C941F7" w:rsidRPr="00F022D2" w:rsidTr="00D10CED">
        <w:trPr>
          <w:trHeight w:val="284"/>
        </w:trPr>
        <w:tc>
          <w:tcPr>
            <w:tcW w:w="2706" w:type="dxa"/>
            <w:shd w:val="clear" w:color="auto" w:fill="auto"/>
            <w:noWrap/>
            <w:vAlign w:val="center"/>
            <w:hideMark/>
          </w:tcPr>
          <w:p w:rsidR="00C941F7" w:rsidRPr="00564C52"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 xml:space="preserve">Li et al. 2017 </w:t>
            </w:r>
            <w:r w:rsidRPr="009401CC">
              <w:rPr>
                <w:rFonts w:eastAsia="Times New Roman"/>
                <w:color w:val="000000"/>
                <w:sz w:val="20"/>
                <w:szCs w:val="20"/>
              </w:rPr>
              <w:fldChar w:fldCharType="begin" w:fldLock="1"/>
            </w:r>
            <w:r>
              <w:rPr>
                <w:rFonts w:eastAsia="Times New Roman"/>
                <w:color w:val="000000"/>
                <w:sz w:val="20"/>
                <w:szCs w:val="20"/>
                <w:lang w:val="en-US"/>
              </w:rPr>
              <w:instrText>ADDIN CSL_CITATION {"citationItems":[{"id":"ITEM-1","itemData":{"DOI":"http://dx.doi.org/10.1371/journal.pone.0183082","ISBN":"1111111111","ISSN":"19326203","abstract":"Introduction: Blend sign has been recently described as a novel imaging marker that predicts hematoma expansion. The purpose of our study was to investigate the prognostic value of CT blend sign in patients with ICH. Objectives and methods: Patients with intracerebral hemorrhage who underwent baseline CT scan within 6 hours were included. The presence of blend sign on admission nonenhanced CT was independently assessed by two readers. The functional outcome was assessed by using the modified Rankin Scale (mRS) at 90 days. Results: Blend sign was identified in 40 of 238 (16.8%) patients on admission CT scan. The proportion of patients with a poor functional outcome was significantly higher in patients with blend sign than those without blend sign (75.0% versus 47.5%, P = 0.001). The multivariate logistic regression analysis demonstrated that age, intraventricular hemorrhage, admission GCS score, baseline hematoma volume and presence of blend sign on baseline CT independently predict poor functional outcome at 90 days. The CT blend sign independently predicts poor outcome in patients with ICH (odds ratio 3.61, 95% confidence interval [1.47-8.89];p = 0.005). Conclusions: Early identification of blend sign is useful in prognostic stratification and may serve as a potential therapeutic target for prospective interventional studies.Copyright © 2017 Li et al. This is an open access article distributed under the terms of the Creative Commons Attribution License, which permits unrestricted use, distribution, and reproduction in any medium, provided the original author and source are credited.","author":[{"dropping-particle":"","family":"Li","given":"Q.","non-dropping-particle":"","parse-names":false,"suffix":""},{"dropping-particle":"","family":"Yang","given":"W.-S.","non-dropping-particle":"","parse-names":false,"suffix":""},{"dropping-particle":"","family":"Wang","given":"X.-C.","non-dropping-particle":"","parse-names":false,"suffix":""},{"dropping-particle":"","family":"Cao","given":"D.","non-dropping-particle":"","parse-names":false,"suffix":""},{"dropping-particle":"","family":"Zhu","given":"D.","non-dropping-particle":"","parse-names":false,"suffix":""},{"dropping-particle":"","family":"Lv","given":"F.-J.","non-dropping-particle":"","parse-names":false,"suffix":""},{"dropping-particle":"","family":"Liu","given":"Y.","non-dropping-particle":"","parse-names":false,"suffix":""},{"dropping-particle":"","family":"Yuan","given":"L.","non-dropping-particle":"","parse-names":false,"suffix":""},{"dropping-particle":"","family":"Zhang","given":"G.","non-dropping-particle":"","parse-names":false,"suffix":""},{"dropping-particle":"","family":"Xiong","given":"X.","non-dropping-particle":"","parse-names":false,"suffix":""},{"dropping-particle":"","family":"Li","given":"R.","non-dropping-particle":"","parse-names":false,"suffix":""},{"dropping-particle":"","family":"Hu","given":"Y.-X.","non-dropping-particle":"","parse-names":false,"suffix":""},{"dropping-particle":"","family":"Qin","given":"X.-Y.","non-dropping-particle":"","parse-names":false,"suffix":""}],"container-title":"PLoS ONE","id":"ITEM-1","issue":"8","issued":{"date-parts":[["2017"]]},"page":"e0183082","title":"Blend sign predicts poor outcome in patients with intracerebral hemorrhage","type":"article-journal","volume":"12"},"uris":["http://www.mendeley.com/documents/?uuid=fcd52392-2ca1-4703-bb13-332a9e50e067"]}],"mendeley":{"formattedCitation":"&lt;sup&gt;17&lt;/sup&gt;","plainTextFormattedCitation":"17","previouslyFormattedCitation":"&lt;sup&gt;17&lt;/sup&gt;"},"properties":{"noteIndex":0},"schema":"https://github.com/citation-style-language/schema/raw/master/csl-citation.json"}</w:instrText>
            </w:r>
            <w:r w:rsidRPr="009401CC">
              <w:rPr>
                <w:rFonts w:eastAsia="Times New Roman"/>
                <w:color w:val="000000"/>
                <w:sz w:val="20"/>
                <w:szCs w:val="20"/>
              </w:rPr>
              <w:fldChar w:fldCharType="separate"/>
            </w:r>
            <w:r w:rsidRPr="00564C52">
              <w:rPr>
                <w:rFonts w:eastAsia="Times New Roman"/>
                <w:noProof/>
                <w:color w:val="000000"/>
                <w:sz w:val="20"/>
                <w:szCs w:val="20"/>
                <w:vertAlign w:val="superscript"/>
                <w:lang w:val="en-US"/>
              </w:rPr>
              <w:t>17</w:t>
            </w:r>
            <w:r w:rsidRPr="009401CC">
              <w:rPr>
                <w:rFonts w:eastAsia="Times New Roman"/>
                <w:color w:val="000000"/>
                <w:sz w:val="20"/>
                <w:szCs w:val="20"/>
              </w:rPr>
              <w:fldChar w:fldCharType="end"/>
            </w:r>
            <w:r w:rsidRPr="00564C52">
              <w:rPr>
                <w:rFonts w:eastAsia="Times New Roman"/>
                <w:color w:val="000000"/>
                <w:sz w:val="20"/>
                <w:szCs w:val="20"/>
                <w:lang w:val="en-US"/>
              </w:rPr>
              <w:t xml:space="preserve"> </w:t>
            </w:r>
          </w:p>
        </w:tc>
        <w:tc>
          <w:tcPr>
            <w:tcW w:w="382" w:type="dxa"/>
            <w:shd w:val="clear" w:color="auto" w:fill="auto"/>
            <w:noWrap/>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382"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382"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U</w:t>
            </w:r>
          </w:p>
        </w:tc>
        <w:tc>
          <w:tcPr>
            <w:tcW w:w="383"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383"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383"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383"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383"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383"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441"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441"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441"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U</w:t>
            </w:r>
          </w:p>
        </w:tc>
        <w:tc>
          <w:tcPr>
            <w:tcW w:w="441"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U</w:t>
            </w:r>
          </w:p>
        </w:tc>
        <w:tc>
          <w:tcPr>
            <w:tcW w:w="441"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441"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441"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441"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N</w:t>
            </w:r>
          </w:p>
        </w:tc>
        <w:tc>
          <w:tcPr>
            <w:tcW w:w="913" w:type="dxa"/>
            <w:shd w:val="clear" w:color="auto" w:fill="auto"/>
            <w:noWrap/>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Low</w:t>
            </w:r>
          </w:p>
        </w:tc>
      </w:tr>
      <w:tr w:rsidR="00C941F7" w:rsidRPr="00F022D2" w:rsidTr="00D10CED">
        <w:trPr>
          <w:trHeight w:val="284"/>
        </w:trPr>
        <w:tc>
          <w:tcPr>
            <w:tcW w:w="2706" w:type="dxa"/>
            <w:shd w:val="clear" w:color="auto" w:fill="auto"/>
            <w:noWrap/>
            <w:vAlign w:val="center"/>
            <w:hideMark/>
          </w:tcPr>
          <w:p w:rsidR="00C941F7" w:rsidRPr="00AC3653" w:rsidRDefault="00C941F7" w:rsidP="00D10CED">
            <w:pPr>
              <w:spacing w:after="0"/>
              <w:rPr>
                <w:rFonts w:eastAsia="Times New Roman"/>
                <w:color w:val="000000"/>
                <w:sz w:val="20"/>
                <w:szCs w:val="20"/>
                <w:lang w:val="en-US"/>
              </w:rPr>
            </w:pPr>
            <w:proofErr w:type="spellStart"/>
            <w:r w:rsidRPr="00564C52">
              <w:rPr>
                <w:rFonts w:eastAsia="Times New Roman"/>
                <w:color w:val="000000"/>
                <w:sz w:val="20"/>
                <w:szCs w:val="20"/>
                <w:lang w:val="en-US"/>
              </w:rPr>
              <w:t>Morotti</w:t>
            </w:r>
            <w:proofErr w:type="spellEnd"/>
            <w:r w:rsidRPr="00564C52">
              <w:rPr>
                <w:rFonts w:eastAsia="Times New Roman"/>
                <w:color w:val="000000"/>
                <w:sz w:val="20"/>
                <w:szCs w:val="20"/>
                <w:lang w:val="en-US"/>
              </w:rPr>
              <w:t xml:space="preserve"> et al. 2017 </w:t>
            </w:r>
            <w:r w:rsidRPr="009401CC">
              <w:rPr>
                <w:rFonts w:eastAsia="Times New Roman"/>
                <w:color w:val="000000"/>
                <w:sz w:val="20"/>
                <w:szCs w:val="20"/>
              </w:rPr>
              <w:fldChar w:fldCharType="begin" w:fldLock="1"/>
            </w:r>
            <w:r w:rsidRPr="00564C52">
              <w:rPr>
                <w:rFonts w:eastAsia="Times New Roman"/>
                <w:color w:val="000000"/>
                <w:sz w:val="20"/>
                <w:szCs w:val="20"/>
                <w:lang w:val="en-US"/>
              </w:rPr>
              <w:instrText>ADDIN CSL_CITATION {"citationItems":[{"id":"ITEM-1","itemData":{"DOI":"10.1212/WNL.0000000000004210","ISSN":"1526-632X","PMID":"28701501","abstract":"OBJECTIVE To validate various noncontrast CT (NCCT) predictors of hematoma expansion in a large international cohort of ICH patients and investigate whether intensive blood pressure (BP) treatment reduces ICH growth and improves outcome in patients with these markers. METHODS We analyzed patients enrolled in the Antihypertensive Treatment of Acute Cerebral Hemorrhage II (ATACH-II) randomized controlled trial. Participants were assigned to intensive (systolic BP &lt;140 mm Hg) vs standard (systolic BP &lt;180 mm Hg) treatment within 4.5 hours from onset. The following NCCT markers were identified: intrahematoma hypodensities, black hole sign, swirl sign, blend sign, heterogeneous hematoma density, and irregular shape. ICH expansion was defined as hematoma growth &gt;33% and unfavorable outcome was defined as modified Rankin Scale score &gt;3 at 90 days. Logistic regression was used to identify predictors of ICH expansion and explore the association between NCCT signs and clinical benefit from intensive BP treatment. RESULTS A total of 989 patients were included (mean age 62 years, 61.9% male), of whom 186/869 experienced hematoma expansion (21.4%) and 361/952 (37.9%) had unfavorable outcome. NCCT markers independently predicted ICH expansion (all p &lt; 0.01) with overall accuracy</w:instrText>
            </w:r>
            <w:r>
              <w:rPr>
                <w:rFonts w:eastAsia="Times New Roman"/>
                <w:color w:val="000000"/>
                <w:sz w:val="20"/>
                <w:szCs w:val="20"/>
              </w:rPr>
              <w:instrText xml:space="preserve"> ranging from 61% to 78% and good interrater reliability (k &gt; 0.6 for all markers). There was no evidence of an interaction between NCCT markers and benefit from intensive BP reduction (all p for interaction &gt;0.10). CONCLUSIONS NCCT signs reliably identify ICH patients at high risk of hematoma growth. However, we found no evidence that patients with these markers specifically benefit from intensive BP reduction. CLINICALTRIALSGOV IDENTIFIER NCT01176565.","author":[{"dropping-particle":"","family":"Morotti","given":"Andrea","non-dropping-particle":"","parse-names":false,"suffix":""},{"dropping-particle":"","family":"Boulouis","given":"Gregoire","non-dropping-particle":"","parse-names":false,"suffix":""},{"dropping-particle":"","family":"Romero","given":"Javier M","non-dropping-particle":"","parse-names":false,"suffix":""},{"dropping-particle":"","family":"Brouwers","given":"H Bart","non-dropping-particle":"","parse-names":false,"suffix":""},{"dropping-particle":"","family":"Jessel","given":"Michael J","non-dropping-particle":"","parse-names":false,"suffix":""},{"dropping-particle":"","family":"Vashkevich","given":"Anastasia","non-dropping-particle":"","parse-names":false,"suffix":""},{"dropping-particle":"","family":"Schwab","given":"Kristin","non-dropping-particle":"","parse-names":false,"suffix":""},{"dropping-particle":"","family":"Afzal","given":"Mohammad Rauf","non-dropping-particle":"","pars</w:instrText>
            </w:r>
            <w:r w:rsidRPr="00564C52">
              <w:rPr>
                <w:rFonts w:eastAsia="Times New Roman"/>
                <w:color w:val="000000"/>
                <w:sz w:val="20"/>
                <w:szCs w:val="20"/>
                <w:lang w:val="en-US"/>
              </w:rPr>
              <w:instrText>e-names":false,"suffix":""},{"dropping-particle":"","family":"Cassarly","given":"Christy","non-dropping-particle":"","parse-names":false,"suffix":""},{"dropping-particle":"","family":"Greenberg","given":"Steven M","non-dropping-particle":"","parse-names":false,"suffix":""},{"dropping-particle":"","family":"Martin","given":"Reneé Hebert","non-dropping-particle":"","parse-names":false,"suffix":""},{"dropping-particle":"","family":"Qureshi","given":"Adnan I","non-dropping-particle":"","parse-names":false,"suffix":""},{"dropping-particle":"","family":"Rosand","given":"Jonathan","non-dropping-particle":"","parse-names":false,"suffix":""},{"dropping-particle":"","family":"Goldstein","given":"Joshua N","non-dropping-particle":"","parse-names":false,"suffix":""},{"dropping-particle":"","family":"ATACH-II and NETT investigators","given":"","non-dropping-particle":"","parse-names":false,"suffix":""}],"container-title":"Neurology","id":"ITEM-1","issue":"6","issued":{"date-parts":[["2017","8","8"]]},"page":"548-554","title":"Blood pressure reduction and noncontrast CT markers of intracerebral hemorrhage expansion.","type":"article-journal","volume":"89"},"uris":["http://www.mendeley.com/documents/?uuid=0318d940-0cb6-3723-9dcb-3581f4fc64c0"]}],"mendeley":{"formattedCitation":"&lt;sup&gt;18&lt;/sup&gt;","plainTextFormattedCitation":"18","previouslyFormattedCitation":"&lt;sup&gt;18&lt;/sup&gt;"},"properties":{"noteIndex":0},"schema":"https://github.com/citation-style-language/schema/raw/master/csl-citation.json"}</w:instrText>
            </w:r>
            <w:r w:rsidRPr="009401CC">
              <w:rPr>
                <w:rFonts w:eastAsia="Times New Roman"/>
                <w:color w:val="000000"/>
                <w:sz w:val="20"/>
                <w:szCs w:val="20"/>
              </w:rPr>
              <w:fldChar w:fldCharType="separate"/>
            </w:r>
            <w:r w:rsidRPr="00176CAD">
              <w:rPr>
                <w:rFonts w:eastAsia="Times New Roman"/>
                <w:noProof/>
                <w:color w:val="000000"/>
                <w:sz w:val="20"/>
                <w:szCs w:val="20"/>
                <w:vertAlign w:val="superscript"/>
                <w:lang w:val="en-US"/>
              </w:rPr>
              <w:t>18</w:t>
            </w:r>
            <w:r w:rsidRPr="009401CC">
              <w:rPr>
                <w:rFonts w:eastAsia="Times New Roman"/>
                <w:color w:val="000000"/>
                <w:sz w:val="20"/>
                <w:szCs w:val="20"/>
              </w:rPr>
              <w:fldChar w:fldCharType="end"/>
            </w:r>
            <w:r w:rsidRPr="00AC3653">
              <w:rPr>
                <w:rFonts w:eastAsia="Times New Roman"/>
                <w:color w:val="000000"/>
                <w:sz w:val="20"/>
                <w:szCs w:val="20"/>
                <w:lang w:val="en-US"/>
              </w:rPr>
              <w:t xml:space="preserve"> </w:t>
            </w:r>
          </w:p>
        </w:tc>
        <w:tc>
          <w:tcPr>
            <w:tcW w:w="382" w:type="dxa"/>
            <w:shd w:val="clear" w:color="auto" w:fill="auto"/>
            <w:noWrap/>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2"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2"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U</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N</w:t>
            </w:r>
          </w:p>
        </w:tc>
        <w:tc>
          <w:tcPr>
            <w:tcW w:w="913" w:type="dxa"/>
            <w:shd w:val="clear" w:color="auto" w:fill="auto"/>
            <w:noWrap/>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Unclear</w:t>
            </w:r>
          </w:p>
        </w:tc>
      </w:tr>
      <w:tr w:rsidR="00C941F7" w:rsidRPr="00F022D2" w:rsidTr="00D10CED">
        <w:trPr>
          <w:trHeight w:val="284"/>
        </w:trPr>
        <w:tc>
          <w:tcPr>
            <w:tcW w:w="2706" w:type="dxa"/>
            <w:shd w:val="clear" w:color="auto" w:fill="auto"/>
            <w:noWrap/>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 xml:space="preserve">Ng et al. 2017 </w:t>
            </w:r>
            <w:r w:rsidRPr="009401CC">
              <w:rPr>
                <w:rFonts w:eastAsia="Times New Roman"/>
                <w:color w:val="000000"/>
                <w:sz w:val="20"/>
                <w:szCs w:val="20"/>
              </w:rPr>
              <w:fldChar w:fldCharType="begin" w:fldLock="1"/>
            </w:r>
            <w:r>
              <w:rPr>
                <w:rFonts w:eastAsia="Times New Roman"/>
                <w:color w:val="000000"/>
                <w:sz w:val="20"/>
                <w:szCs w:val="20"/>
                <w:lang w:val="en-US"/>
              </w:rPr>
              <w:instrText>ADDIN CSL_CITATION {"citationItems":[{"id":"ITEM-1","itemData":{"DOI":"10.3174/ajnr.A5465","ISSN":"1936959X","PMID":"29217744","abstract":"BACKGROUND AND PURPOSE Hematoma expansion is an independent determinant of poor clinical outcome in intracerebral hemorrhage. Although the \"spot sign\" predicts hematoma expansion, the identification requires CT angiography, which limits its general accessibility in some hospital settings. Noncontrast CT, without the need for CT angiography, may identify sites of active extravasation, termed the \"swirl sign.\" We aimed to determine the association of the swirl sign with hematoma expansion. MATERIALS AND METHODS Patients with spontaneous intracerebral hemorrhage between 2007 and 2014 who underwent an initial and subsequent noncontrast CT at a single center were retrospectively identified. The swirl sign, on noncontrast CT, was defined as iso- or hypodensity within a hyperdense region that extended across 2 contiguous 5-mm axial CT sections. RESULTS A total of 212 patients met the inclusion criteria. The swirl sign was identified in 91 patients with excellent interobserver agreement (κ = 0.87). The swirl sign was associated with larger initial hematoma (P &lt; .001) and earlier initial CT (P &lt; .001) and hematoma expansion (P = .028). Multivariable regression modeling demonstrated that if one assumed similar initial hematoma volume, onset-to-first scan, and time between CT scans, the median absolute hematoma growth was 5.77 mL (95% CI, 2.37-9.18 mL; P = .001) and relative growth was 35.6% (95% CI, 18.5%-52.6%; P &lt; .001) higher in patients with the swirl sign compared with those without. CONCLUSIONS The NCCT swirl sign was reliably identified and is associated with hematoma expansion. We propose that the swirl sign be included in risk stratification of intracerebral hemorrhage and considered for inclusion in clinical trials.","author":[{"dropping-particle":"","family":"Ng","given":"D.","non-dropping-particle":"","parse-names":false,"suffix":""},{"dropping-particle":"","family":"Churilov","given":"L.","non-dropping-particle":"","parse-names":false,"suffix":""},{"dropping-particle":"","family":"Mitchell","given":"P.","non-dropping-particle":"","parse-names":false,"suffix":""},{"dropping-particle":"","family":"Dowling","given":"R.","non-dropping-particle":"","parse-names":false,"suffix":""},{"dropping-particle":"","family":"Yan","given":"B.","non-dropping-particle":"","parse-names":false,"suffix":""}],"container-title":"American Journal of Neuroradiology","id":"ITEM-1","issue":"2","issued":{"date-parts":[["2018"]]},"page":"232-237","title":"The CT Swirl Sign Is Associated with Hematoma Expansion in Intracerebral Hemorrhage","type":"article-journal","volume":"39"},"uris":["http://www.mendeley.com/documents/?uuid=741cbdc6-17b9-4b2d-9725-682a888ea7d5"]}],"mendeley":{"formattedCitation":"&lt;sup&gt;19&lt;/sup&gt;","plainTextFormattedCitation":"19","previouslyFormattedCitation":"&lt;sup&gt;19&lt;/sup&gt;"},"properties":{"noteIndex":0},"schema":"https://github.com/citation-style-language/schema/raw/master/csl-citation.json"}</w:instrText>
            </w:r>
            <w:r w:rsidRPr="009401CC">
              <w:rPr>
                <w:rFonts w:eastAsia="Times New Roman"/>
                <w:color w:val="000000"/>
                <w:sz w:val="20"/>
                <w:szCs w:val="20"/>
              </w:rPr>
              <w:fldChar w:fldCharType="separate"/>
            </w:r>
            <w:r w:rsidRPr="00176CAD">
              <w:rPr>
                <w:rFonts w:eastAsia="Times New Roman"/>
                <w:noProof/>
                <w:color w:val="000000"/>
                <w:sz w:val="20"/>
                <w:szCs w:val="20"/>
                <w:vertAlign w:val="superscript"/>
                <w:lang w:val="en-US"/>
              </w:rPr>
              <w:t>19</w:t>
            </w:r>
            <w:r w:rsidRPr="009401CC">
              <w:rPr>
                <w:rFonts w:eastAsia="Times New Roman"/>
                <w:color w:val="000000"/>
                <w:sz w:val="20"/>
                <w:szCs w:val="20"/>
              </w:rPr>
              <w:fldChar w:fldCharType="end"/>
            </w:r>
          </w:p>
        </w:tc>
        <w:tc>
          <w:tcPr>
            <w:tcW w:w="382" w:type="dxa"/>
            <w:shd w:val="clear" w:color="auto" w:fill="auto"/>
            <w:noWrap/>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2"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2"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U</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U</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U</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N</w:t>
            </w:r>
          </w:p>
        </w:tc>
        <w:tc>
          <w:tcPr>
            <w:tcW w:w="913" w:type="dxa"/>
            <w:shd w:val="clear" w:color="auto" w:fill="auto"/>
            <w:noWrap/>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Unclear</w:t>
            </w:r>
          </w:p>
        </w:tc>
      </w:tr>
      <w:tr w:rsidR="00C941F7" w:rsidRPr="00F022D2" w:rsidTr="00D10CED">
        <w:trPr>
          <w:trHeight w:val="284"/>
        </w:trPr>
        <w:tc>
          <w:tcPr>
            <w:tcW w:w="2706" w:type="dxa"/>
            <w:shd w:val="clear" w:color="auto" w:fill="auto"/>
            <w:noWrap/>
            <w:vAlign w:val="center"/>
            <w:hideMark/>
          </w:tcPr>
          <w:p w:rsidR="00C941F7" w:rsidRPr="00176CAD" w:rsidRDefault="00C941F7" w:rsidP="00D10CED">
            <w:pPr>
              <w:spacing w:after="0"/>
              <w:rPr>
                <w:rFonts w:eastAsia="Times New Roman"/>
                <w:color w:val="000000"/>
                <w:sz w:val="20"/>
                <w:szCs w:val="20"/>
                <w:lang w:val="en-US"/>
              </w:rPr>
            </w:pPr>
            <w:proofErr w:type="spellStart"/>
            <w:r w:rsidRPr="00AC3653">
              <w:rPr>
                <w:rFonts w:eastAsia="Times New Roman"/>
                <w:color w:val="000000"/>
                <w:sz w:val="20"/>
                <w:szCs w:val="20"/>
                <w:lang w:val="en-US"/>
              </w:rPr>
              <w:t>Sporns</w:t>
            </w:r>
            <w:proofErr w:type="spellEnd"/>
            <w:r w:rsidRPr="00AC3653">
              <w:rPr>
                <w:rFonts w:eastAsia="Times New Roman"/>
                <w:color w:val="000000"/>
                <w:sz w:val="20"/>
                <w:szCs w:val="20"/>
                <w:lang w:val="en-US"/>
              </w:rPr>
              <w:t xml:space="preserve"> et al. 2017 </w:t>
            </w:r>
            <w:r w:rsidRPr="009401CC">
              <w:rPr>
                <w:rFonts w:eastAsia="Times New Roman"/>
                <w:color w:val="000000"/>
                <w:sz w:val="20"/>
                <w:szCs w:val="20"/>
              </w:rPr>
              <w:fldChar w:fldCharType="begin" w:fldLock="1"/>
            </w:r>
            <w:r>
              <w:rPr>
                <w:rFonts w:eastAsia="Times New Roman"/>
                <w:color w:val="000000"/>
                <w:sz w:val="20"/>
                <w:szCs w:val="20"/>
                <w:lang w:val="en-US"/>
              </w:rPr>
              <w:instrText>ADDIN CSL_CITATION {"citationItems":[{"id":"ITEM-1","itemData":{"DOI":"10.5853/jos.2016.02061","ISSN":"2287-6391","PMID":"29037015","abstract":"Background and Purpose Blend sign (BS) and black hole sign (BHS) on non-contrast computed tomography (NCCT) and spot sign (SS) on CT-angiography (CTA) are indicators of early hematoma expansion in spontaneous intracerebral hemorrhage (ICH). However, their independent contributions to outcome have not been well explored. Methods In this retrospective study, inclusion criteria were: 1) spontaneous ICH and 2) NCCT and CTA performed on admission within 6 hours after onset of symptoms. Discharge outcome was dichotomized as good (modified Rankin Scale [mRS] 0-3) and poor (mRS 4-6) outcomes. The impacts of BHS, BS and SS on outcome were assessed in univariate and multivariable logistic regression models. Results Of 182 patients with spontaneous ICH, 26 (14.3%) presented with BHS, 37 (20.3%) with BS and 39 (21.4%) with SS. There was a substantial correlation between SS and BS (κ=0.701) and a moderate correlation between SS and BHS (κ=0.424). In univariable logistic regression, higher baseline hematoma volume (P&lt;0.001), intraventricular hemorrhage (P=0.002) and the presence of BHS/BS/SS (all P&lt;0.001) on admission CT scan were associated with poor outcome. Multivariable analysis identified intraventricular haemorrhage (odds ratio [OR] 2.22 per mL, P=0.022), baseline hematoma volume (OR 1.03 per mL, P&lt;0.001) and SS on CTA (OR 11.43, P&lt;0.001) as independent predictors of poor outcome, showing that SS compared to BS and BHS was more powerful to predict poor outcome. Conclusions The NCCT BHS and BS are correlated with the CTA SS and are reliable predictors of poor outcome in patients with ICH. Of the CT variables indicating early hematoma expansion, SS on CTA was the most reliable outcome predictor. However, given their correlation with SS on CTA, BS and BHS on NCCT can be useful for predicting outcome if CTA is not obtainable.","author":[{"dropping-particle":"","family":"Sporns","given":"Peter B","non-dropping-particle":"","parse-names":false,"suffix":""},{"dropping-particle":"","family":"Schwake","given":"Michael","non-dropping-particle":"","parse-names":false,"suffix":""},{"dropping-particle":"","family":"Kemmling","given":"André","non-dropping-particle":"","parse-names":false,"suffix":""},{"dropping-particle":"","family":"Minnerup","given":"Jens","non-dropping-particle":"","parse-names":false,"suffix":""},{"dropping-particle":"","family":"Schwindt","given":"Wolfram","non-dropping-particle":"","parse-names":false,"suffix":""},{"dropping-particle":"","family":"Niederstadt","given":"Thomas","non-dropping-particle":"","parse-names":false,"suffix":""},{"dropping-particle":"","family":"Schmidt","given":"Rene","non-dropping-particle":"","parse-names":false,"suffix":""},{"dropping-particle":"","family":"Hanning","given":"Uta","non-dropping-particle":"","parse-names":false,"suffix":""}],"container-title":"Journal of Stroke","id":"ITEM-1","issue":"3","issued":{"date-parts":[["2017"]]},"page":"333-339","title":"Comparison of Spot Sign, Blend Sign and Black Hole Sign for Outcome Prediction in Patients with Intracerebral Hemorrhage","type":"article-journal","volume":"19"},"uris":["http://www.mendeley.com/documents/?uuid=7710fed9-ae76-4a4b-9762-b3d3252086c0"]}],"mendeley":{"formattedCitation":"&lt;sup&gt;20&lt;/sup&gt;","plainTextFormattedCitation":"20","previouslyFormattedCitation":"&lt;sup&gt;20&lt;/sup&gt;"},"properties":{"noteIndex":0},"schema":"https://github.com/citation-style-language/schema/raw/master/csl-citation.json"}</w:instrText>
            </w:r>
            <w:r w:rsidRPr="009401CC">
              <w:rPr>
                <w:rFonts w:eastAsia="Times New Roman"/>
                <w:color w:val="000000"/>
                <w:sz w:val="20"/>
                <w:szCs w:val="20"/>
              </w:rPr>
              <w:fldChar w:fldCharType="separate"/>
            </w:r>
            <w:r w:rsidRPr="00176CAD">
              <w:rPr>
                <w:rFonts w:eastAsia="Times New Roman"/>
                <w:noProof/>
                <w:color w:val="000000"/>
                <w:sz w:val="20"/>
                <w:szCs w:val="20"/>
                <w:vertAlign w:val="superscript"/>
                <w:lang w:val="en-US"/>
              </w:rPr>
              <w:t>20</w:t>
            </w:r>
            <w:r w:rsidRPr="009401CC">
              <w:rPr>
                <w:rFonts w:eastAsia="Times New Roman"/>
                <w:color w:val="000000"/>
                <w:sz w:val="20"/>
                <w:szCs w:val="20"/>
              </w:rPr>
              <w:fldChar w:fldCharType="end"/>
            </w:r>
            <w:r w:rsidRPr="00176CAD">
              <w:rPr>
                <w:rFonts w:eastAsia="Times New Roman"/>
                <w:color w:val="000000"/>
                <w:sz w:val="20"/>
                <w:szCs w:val="20"/>
                <w:lang w:val="en-US"/>
              </w:rPr>
              <w:t xml:space="preserve"> </w:t>
            </w:r>
          </w:p>
        </w:tc>
        <w:tc>
          <w:tcPr>
            <w:tcW w:w="382" w:type="dxa"/>
            <w:shd w:val="clear" w:color="auto" w:fill="auto"/>
            <w:noWrap/>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2"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2"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U</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U</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U</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N</w:t>
            </w:r>
          </w:p>
        </w:tc>
        <w:tc>
          <w:tcPr>
            <w:tcW w:w="913" w:type="dxa"/>
            <w:shd w:val="clear" w:color="auto" w:fill="auto"/>
            <w:noWrap/>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Unclear</w:t>
            </w:r>
          </w:p>
        </w:tc>
      </w:tr>
      <w:tr w:rsidR="00C941F7" w:rsidRPr="00F022D2" w:rsidTr="00D10CED">
        <w:trPr>
          <w:trHeight w:val="284"/>
        </w:trPr>
        <w:tc>
          <w:tcPr>
            <w:tcW w:w="2706" w:type="dxa"/>
            <w:shd w:val="clear" w:color="auto" w:fill="auto"/>
            <w:noWrap/>
            <w:vAlign w:val="center"/>
            <w:hideMark/>
          </w:tcPr>
          <w:p w:rsidR="00C941F7" w:rsidRPr="00564C52"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 xml:space="preserve">Yu et al. 2017 </w:t>
            </w:r>
            <w:r w:rsidRPr="009401CC">
              <w:rPr>
                <w:rFonts w:eastAsia="Times New Roman"/>
                <w:color w:val="000000"/>
                <w:sz w:val="20"/>
                <w:szCs w:val="20"/>
              </w:rPr>
              <w:fldChar w:fldCharType="begin" w:fldLock="1"/>
            </w:r>
            <w:r>
              <w:rPr>
                <w:rFonts w:eastAsia="Times New Roman"/>
                <w:color w:val="000000"/>
                <w:sz w:val="20"/>
                <w:szCs w:val="20"/>
                <w:lang w:val="en-US"/>
              </w:rPr>
              <w:instrText>ADDIN CSL_CITATION {"citationItems":[{"id":"ITEM-1","itemData":{"DOI":"10.1016/j.jns.2017.05.049","ISSN":"18785883","abstract":"Background Hematoma density heterogeneity (HDH) and ultraearly hematoma growth (uHG) are novel imaging predictors for hematoma expansion (HE) based on computed tomography (CT). This study was aimed to compare the accuracy of HDH and uHG in HE prediction within a cohort of spontaneous intracerebral hemorrhage (sICH) patients. Methods This study included sICH patients with initial CT within 6 h after onset. uHG was defined as baseline hematoma volume/onset-to-CT time (ml/h) and the cutoff was 4.7 ml/h. HDH was evaluated following a 5-point categorical scale and HDH grade was dichotomized into homogeneous (1–2) and heterogeneous (3–5). The predictive accuracy of HDH and uHG was analyzed by receiver-operator analysis. Results A total of 137 patients were included in this study. The mean uHG and median HDH grade were significantly higher in patients with HE. In multivariable analysis, uHG ≥ 4.7 and HDH grade ≥ 3 were associated with HE independently. The sensitivity, specificity, positive predictive value (PPV) and negative predictive value (NPV) of uHG ≥ 4.7 were 76.5%, 57.3%, 37.1%, and 88.1%, respectively. The sensitivity, specificity, PPV and NPV of HDH grade ≥ 3 were 55.9%, 70.9%, 39.8% and 83.0%, respectively. Conclusions Both HDH and uHG are promising predictors for HE. HDH has higher specificity while uHG is more sensitive.","author":[{"dropping-particle":"","family":"Yu","given":"Zhiyuan","non-dropping-particle":"","parse-names":false,"suffix":""},{"dropping-particle":"","family":"Ma","given":"Lu","non-dropping-particle":"","parse-names":false,"suffix":""},{"dropping-particle":"","family":"Zheng","given":"Jun","non-dropping-particle":"","parse-names":false,"suffix":""},{"dropping-particle":"","family":"Guo","given":"Rui","non-dropping-particle":"","parse-names":false,"suffix":""},{"dropping-particle":"","family":"Li","given":"Mou","non-dropping-particle":"","parse-names":false,"suffix":""},{"dropping-particle":"","family":"Wang","given":"Xiaoze","non-dropping-particle":"","parse-names":false,"suffix":""},{"dropping-particle":"","family":"Lin","given":"Sen","non-dropping-particle":"","parse-names":false,"suffix":""},{"dropping-particle":"","family":"Li","given":"Hao","non-dropping-particle":"","parse-names":false,"suffix":""},{"dropping-particle":"","family":"You","given":"Chao","non-dropping-particle":"","parse-names":false,"suffix":""}],"container-title":"Journal of the Neurological Sciences","id":"ITEM-1","issued":{"date-parts":[["2017"]]},"page":"44-48","title":"Comparison of hematoma density heterogeneity and ultraearly hematoma growth in predicting hematoma expansion in patients with spontaneous intracerebral hemorrhage","type":"article-journal","volume":"379"},"uris":["http://www.mendeley.com/documents/?uuid=d3787597-f5fb-4c9f-80ff-34b0d600f3f6"]}],"mendeley":{"formattedCitation":"&lt;sup&gt;21&lt;/sup&gt;","plainTextFormattedCitation":"21","previouslyFormattedCitation":"&lt;sup&gt;21&lt;/sup&gt;"},"properties":{"noteIndex":0},"schema":"https://github.com/citation-style-language/schema/raw/master/csl-citation.json"}</w:instrText>
            </w:r>
            <w:r w:rsidRPr="009401CC">
              <w:rPr>
                <w:rFonts w:eastAsia="Times New Roman"/>
                <w:color w:val="000000"/>
                <w:sz w:val="20"/>
                <w:szCs w:val="20"/>
              </w:rPr>
              <w:fldChar w:fldCharType="separate"/>
            </w:r>
            <w:r w:rsidRPr="00564C52">
              <w:rPr>
                <w:rFonts w:eastAsia="Times New Roman"/>
                <w:noProof/>
                <w:color w:val="000000"/>
                <w:sz w:val="20"/>
                <w:szCs w:val="20"/>
                <w:vertAlign w:val="superscript"/>
                <w:lang w:val="en-US"/>
              </w:rPr>
              <w:t>21</w:t>
            </w:r>
            <w:r w:rsidRPr="009401CC">
              <w:rPr>
                <w:rFonts w:eastAsia="Times New Roman"/>
                <w:color w:val="000000"/>
                <w:sz w:val="20"/>
                <w:szCs w:val="20"/>
              </w:rPr>
              <w:fldChar w:fldCharType="end"/>
            </w:r>
          </w:p>
        </w:tc>
        <w:tc>
          <w:tcPr>
            <w:tcW w:w="382" w:type="dxa"/>
            <w:shd w:val="clear" w:color="auto" w:fill="auto"/>
            <w:noWrap/>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382"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382"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U</w:t>
            </w:r>
          </w:p>
        </w:tc>
        <w:tc>
          <w:tcPr>
            <w:tcW w:w="383"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383"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383"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383"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383"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383"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441"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441"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441"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U</w:t>
            </w:r>
          </w:p>
        </w:tc>
        <w:tc>
          <w:tcPr>
            <w:tcW w:w="441"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U</w:t>
            </w:r>
          </w:p>
        </w:tc>
        <w:tc>
          <w:tcPr>
            <w:tcW w:w="441"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441"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441"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441"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N</w:t>
            </w:r>
          </w:p>
        </w:tc>
        <w:tc>
          <w:tcPr>
            <w:tcW w:w="913" w:type="dxa"/>
            <w:shd w:val="clear" w:color="auto" w:fill="auto"/>
            <w:noWrap/>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Unclear</w:t>
            </w:r>
          </w:p>
        </w:tc>
      </w:tr>
      <w:tr w:rsidR="00C941F7" w:rsidRPr="009401CC" w:rsidTr="00D10CED">
        <w:trPr>
          <w:trHeight w:val="284"/>
        </w:trPr>
        <w:tc>
          <w:tcPr>
            <w:tcW w:w="2706"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564C52">
              <w:rPr>
                <w:rFonts w:eastAsia="Times New Roman"/>
                <w:color w:val="000000"/>
                <w:sz w:val="20"/>
                <w:szCs w:val="20"/>
                <w:lang w:val="en-US"/>
              </w:rPr>
              <w:t xml:space="preserve">Yu et al. 2017 </w:t>
            </w:r>
            <w:r w:rsidRPr="009401CC">
              <w:rPr>
                <w:rFonts w:eastAsia="Times New Roman"/>
                <w:color w:val="000000"/>
                <w:sz w:val="20"/>
                <w:szCs w:val="20"/>
              </w:rPr>
              <w:fldChar w:fldCharType="begin" w:fldLock="1"/>
            </w:r>
            <w:r w:rsidRPr="00564C52">
              <w:rPr>
                <w:rFonts w:eastAsia="Times New Roman"/>
                <w:color w:val="000000"/>
                <w:sz w:val="20"/>
                <w:szCs w:val="20"/>
                <w:lang w:val="en-US"/>
              </w:rPr>
              <w:instrText>ADDIN CSL_CITATION {"citationItems":[{"id":"ITEM-1","itemData":{"DOI":"10.1016/j.clineuro.2017.10.017","ISBN":"8602885422490","ISSN":"18726968","PMID":"29078128","abstract":"Objectives Hematoma expansion is independently associated with poor outcome in intracerebral hemorrhage (ICH). Blend sign is a simple predictor for hematoma expansion on non-contrast computed tomography. However, its accuracy for predicting hematoma expansion is inconsistent in previous studies. This meta-analysis is aimed to systematically assess the performance of blend sign in predicting hematoma expansion in ICH. Material and methods A systematic literature search was conducted. Original studies about predictive accuracy of blend sign for hematoma expansion in ICH were included. Pooled sensitivity, specificity, positive and negative likelihood ratios were calculated. Summary receiver operating characteristics curve was constructed. Publication bias was assessed by Deeks’ funnel plot asymmetry test. Results A total of 5 studies with 2248 patients were included in this meta-analysis. The pooled sensitivity, specificity, positive and negative likelihood ratios of blend sign for predicting hematoma expansion were 0.28, 0.92, 3.4 and 0.78, respectively. The area under the curve (AUC) was 0.85. No significant publication bias was found. Conclusion This meta-analysis demonstrates that blend sign is a useful predictor with high specificity for hem</w:instrText>
            </w:r>
            <w:r>
              <w:rPr>
                <w:rFonts w:eastAsia="Times New Roman"/>
                <w:color w:val="000000"/>
                <w:sz w:val="20"/>
                <w:szCs w:val="20"/>
              </w:rPr>
              <w:instrText>atoma expansion in ICH. Further studies with larger sample size are still necessary to verify the accuracy of blend sign for predicting hematoma expansion.","author":[{"dropping-particle":"","family":"Yu","given":"Zhiyuan","non-dropping-particle":"","parse-names":false,"suffix":""},{"dropping-particle":"","family":"Zheng","given":"Jun","non-dropping-particle":"","parse-names":false,"suffix":""},{"dropping-particle":"","family":"Guo","given":"Rui","non-dropping-particle":"","parse-names":false,"suffix":""},{"dropping-particle":"","family":"Ma","given":"Lu","non-dropping-particle":"","parse-names":false,"suffix":""},{"dropping-particle":"","family":"Li","given":"Mou","non-dropping-particle":"","parse-names":false,"suffix":""},{"dropping-particle":"","family":"Wang","given":"Xiaoze","non-dropping-particle":"","parse-names":false,"suffix":""},{"dropping-particle":"","family":"Lin","given":"Sen","non-dropping-particle":"","parse-names":false,"suffix":""},{"dropping-particle":"","family":"Li","given":"Hao","non-dropping-particle":"","parse-names":false,"suffix":""},{"dropping-particle":"","family":"You","given":"Chao","non-dropping-particle":"","parse-names":false,"suffix":""}],"container-title":"Clinical Neurology and Neurosurgery","id":"ITEM-1","issued":{"date-parts":[["2017"]]},"page":"84-89","title":"Performance of blend sign in predicting hematoma expansion in intracerebral hemorrhage: A meta-analysis","type":"article-journal","volume":"163"},"uris":["http://www.mendeley.com/documents/?uuid=9cde7879-997d-4956-bf42-ce3e889134c8"]}],"mendeley":{"formattedCitation":"&lt;sup&gt;22&lt;/sup&gt;","plainTextFormattedCitation":"22","previouslyFormattedCitation":"&lt;sup&gt;22&lt;/sup&gt;"},"properties":{"noteIndex":0},"schema":"https://github.com/citation-style-language/schema/raw/master/csl-citation.json"}</w:instrText>
            </w:r>
            <w:r w:rsidRPr="009401CC">
              <w:rPr>
                <w:rFonts w:eastAsia="Times New Roman"/>
                <w:color w:val="000000"/>
                <w:sz w:val="20"/>
                <w:szCs w:val="20"/>
              </w:rPr>
              <w:fldChar w:fldCharType="separate"/>
            </w:r>
            <w:r w:rsidRPr="00176CAD">
              <w:rPr>
                <w:rFonts w:eastAsia="Times New Roman"/>
                <w:noProof/>
                <w:color w:val="000000"/>
                <w:sz w:val="20"/>
                <w:szCs w:val="20"/>
                <w:vertAlign w:val="superscript"/>
              </w:rPr>
              <w:t>22</w:t>
            </w:r>
            <w:r w:rsidRPr="009401CC">
              <w:rPr>
                <w:rFonts w:eastAsia="Times New Roman"/>
                <w:color w:val="000000"/>
                <w:sz w:val="20"/>
                <w:szCs w:val="20"/>
              </w:rPr>
              <w:fldChar w:fldCharType="end"/>
            </w:r>
            <w:r w:rsidRPr="009401CC">
              <w:rPr>
                <w:rFonts w:eastAsia="Times New Roman"/>
                <w:color w:val="000000"/>
                <w:sz w:val="20"/>
                <w:szCs w:val="20"/>
              </w:rPr>
              <w:t xml:space="preserve"> </w:t>
            </w:r>
          </w:p>
        </w:tc>
        <w:tc>
          <w:tcPr>
            <w:tcW w:w="382"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2"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2"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N</w:t>
            </w:r>
          </w:p>
        </w:tc>
        <w:tc>
          <w:tcPr>
            <w:tcW w:w="913"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Unclear</w:t>
            </w:r>
          </w:p>
        </w:tc>
      </w:tr>
      <w:tr w:rsidR="00C941F7" w:rsidRPr="009401CC" w:rsidTr="00D10CED">
        <w:trPr>
          <w:trHeight w:val="284"/>
        </w:trPr>
        <w:tc>
          <w:tcPr>
            <w:tcW w:w="2706"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 xml:space="preserve">Zheng et al. 2017 </w:t>
            </w:r>
            <w:r w:rsidRPr="009401CC">
              <w:rPr>
                <w:rFonts w:eastAsia="Times New Roman"/>
                <w:color w:val="000000"/>
                <w:sz w:val="20"/>
                <w:szCs w:val="20"/>
              </w:rPr>
              <w:fldChar w:fldCharType="begin" w:fldLock="1"/>
            </w:r>
            <w:r>
              <w:rPr>
                <w:rFonts w:eastAsia="Times New Roman"/>
                <w:color w:val="000000"/>
                <w:sz w:val="20"/>
                <w:szCs w:val="20"/>
              </w:rPr>
              <w:instrText>ADDIN CSL_CITATION {"citationItems":[{"id":"ITEM-1","itemData":{"DOI":"10.12659/MSM.901583","ISSN":"1643-3750","PMID":"28498827","abstract":"BACKGROUND Hematoma expansion is associated with poor outcome in intracerebral hemorrhage (ICH) patients. The spot sign and the blend sign are reliable tools for predicting hematoma expansion in ICH patients. The aim of this study was to compare the accuracy of the two signs in the prediction of hematoma expansion. MATERIAL AND METHODS Patients with spontaneous ICH were screened for the presence of the computed tomography angiography (CTA) spot sign and the non-contrast CT (NCCT) blend sign within 6 hours after onset of symptoms. The sensitivity, specificity, and positive and negative predictive values of the spot sign and the blend sign in predicting hematoma expansion were calculated. The accuracy of the spot sign and the blend sign in predicting hematoma expansion was analyzed by receiver-operator analysis. RESULTS A total of 115 patients were enrolled in this study. The spot sign was observed in 25 (21.74%) patients, whereas the blend sign was observed in 22 (19.13%) patients. Of the 28 patients with hematoma expansion, the CTA spot sign was found on admission CT scans in 16 (57.14%) and the NCCT blend sign in 12 (42.86%), respectively. The sensitivity, specificity, positive predictive value, and negative predictive value of the spot sign for predicting hematoma expansion were 57.14%, 89.66%, 64.00%, and 86.67%, respectively. In contrast, the sensitivity, specificity, positive predictive value, and negative predictive value of the blend sign were 42.86%, 88.51%, 54.55%, and 82.80%, respectively. The area under the curve (AUC) of the spot sign was 0.734, which was higher than that of the blend sign (0.657). CONCLUSIONS Both the spot sign and the blend sign seemed to be good predictors for hematoma expansion, and the spot sign appeared to have better predictive accuracy.","author":[{"dropping-particle":"","family":"Zheng","given":"Jun","non-dropping-particle":"","parse-names":false,"suffix":""},{"dropping-particle":"","family":"Yu","given":"Zhiyuan","non-dropping-particle":"","parse-names":false,"suffix":""},{"dropping-particle":"","family":"Xu","given":"Zhao","non-dropping-particle":"","parse-names":false,"suffix":""},{"dropping-particle":"","family":"Li","given":"Mou","non-dropping-particle":"","parse-names":false,"suffix":""},{"dropping-particle":"","family":"Wang","given":"Xiaoze","non-dropping-particle":"","parse-names":false,"suffix":""},{"dropping-particle":"","family":"Lin","given":"Sen","non-dropping-particle":"","parse-names":false,"suffix":""},{"dropping-particle":"","family":"Li","given":"Hao","non-dropping-particle":"","parse-names":false,"suffix":""},{"dropping-particle":"","family":"You","given":"Chao","non-dropping-particle":"","parse-names":false,"suffix":""}],"container-title":"Medical Science Monitor","id":"ITEM-1","issued":{"date-parts":[["2017"]]},"page":"2250-2257","title":"The Accuracy of the Spot Sign and the Blend Sign for Predicting Hematoma Expansion in Patients with Spontaneous Intracerebral Hemorrhage","type":"article-journal","volume":"23"},"uris":["http://www.mendeley.com/documents/?uuid=d7dbf6da-9164-428f-89e4-8763844c23d2"]}],"mendeley":{"formattedCitation":"&lt;sup&gt;23&lt;/sup&gt;","plainTextFormattedCitation":"23","previouslyFormattedCitation":"&lt;sup&gt;23&lt;/sup&gt;"},"properties":{"noteIndex":0},"schema":"https://github.com/citation-style-language/schema/raw/master/csl-citation.json"}</w:instrText>
            </w:r>
            <w:r w:rsidRPr="009401CC">
              <w:rPr>
                <w:rFonts w:eastAsia="Times New Roman"/>
                <w:color w:val="000000"/>
                <w:sz w:val="20"/>
                <w:szCs w:val="20"/>
              </w:rPr>
              <w:fldChar w:fldCharType="separate"/>
            </w:r>
            <w:r w:rsidRPr="00176CAD">
              <w:rPr>
                <w:rFonts w:eastAsia="Times New Roman"/>
                <w:noProof/>
                <w:color w:val="000000"/>
                <w:sz w:val="20"/>
                <w:szCs w:val="20"/>
                <w:vertAlign w:val="superscript"/>
              </w:rPr>
              <w:t>23</w:t>
            </w:r>
            <w:r w:rsidRPr="009401CC">
              <w:rPr>
                <w:rFonts w:eastAsia="Times New Roman"/>
                <w:color w:val="000000"/>
                <w:sz w:val="20"/>
                <w:szCs w:val="20"/>
              </w:rPr>
              <w:fldChar w:fldCharType="end"/>
            </w:r>
            <w:r w:rsidRPr="009401CC">
              <w:rPr>
                <w:rFonts w:eastAsia="Times New Roman"/>
                <w:color w:val="000000"/>
                <w:sz w:val="20"/>
                <w:szCs w:val="20"/>
              </w:rPr>
              <w:t xml:space="preserve"> </w:t>
            </w:r>
          </w:p>
        </w:tc>
        <w:tc>
          <w:tcPr>
            <w:tcW w:w="382"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2"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2"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N</w:t>
            </w:r>
          </w:p>
        </w:tc>
        <w:tc>
          <w:tcPr>
            <w:tcW w:w="913"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Unclear</w:t>
            </w:r>
          </w:p>
        </w:tc>
      </w:tr>
      <w:tr w:rsidR="00C941F7" w:rsidRPr="009401CC" w:rsidTr="00D10CED">
        <w:trPr>
          <w:trHeight w:val="284"/>
        </w:trPr>
        <w:tc>
          <w:tcPr>
            <w:tcW w:w="2706"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 xml:space="preserve">Morotti et al. 2018 </w:t>
            </w:r>
            <w:r w:rsidRPr="009401CC">
              <w:rPr>
                <w:rFonts w:eastAsia="Times New Roman"/>
                <w:color w:val="000000"/>
                <w:sz w:val="20"/>
                <w:szCs w:val="20"/>
              </w:rPr>
              <w:fldChar w:fldCharType="begin" w:fldLock="1"/>
            </w:r>
            <w:r>
              <w:rPr>
                <w:rFonts w:eastAsia="Times New Roman"/>
                <w:color w:val="000000"/>
                <w:sz w:val="20"/>
                <w:szCs w:val="20"/>
              </w:rPr>
              <w:instrText>ADDIN CSL_CITATION {"citationItems":[{"id":"ITEM-1","itemData":{"DOI":"10.1161/STROKEAHA.117.020138","ISSN":"0039-2499","PMID":"29669875","abstract":"BACKGROUND AND PURPOSE Although the computed tomographic angiography spot sign performs well as a biomarker for hematoma expansion (HE), computed tomographic angiography is not routinely performed in the emergency setting. We developed and validated a score to predict HE-based on noncontrast computed tomography (NCCT) findings in spontaneous acute intracerebral hemorrhage. METHODS After developing the score in a single-center cohort of patients with intracerebral hemorrhage (n=344), we validated it in a large clinical trial population (n=954) and in a multicenter intracerebral hemorrhage cohort (n=241). The following NCCT markers of HE were analyzed: hypodensities, blend sign, hematoma shape and density, and fluid level. HE was defined as hematoma growth &gt;6 mL or &gt;33%. The score was created using the estimates from multivariable logistic regression after final predictors were selected from bootstrap samples. RESULTS Presence of blend sign (odds ratio, 3.09; 95% confidence interval [CI],1.49-6.40; P=0.002), any intrahematoma hypodensity (odds ratio, 4.54; 95% CI, 2.44-8.43; P&lt;0.0001), and time from onset to NCCT &lt;2.5 hours (odds ratio, 3.73; 95% CI, 1.86-7.51; P=0.0002) were predictors of HE. A 5-point score was created (BAT score: 1 point for blend sign, 2 points for any hypodensity, and 2 points for timing of NCCT &lt;2.5 hours). The c statistic was 0.77 (95% CI, 0.70-0.83) in the development population, 0.65 (95% CI 0.61-0.68) and 0.70 (95% CI, 0.64-0.77) in the 2 validation cohorts. A dichotomized score (BAT score ≥3) predicted HE with 0.50 sensitivity and 0.89 specificity. CONCLUSIONS An easy to use 5-point prediction score can identify subjects at high risk of HE with good specificity and accuracy. This tool requires just a baseline NCCT scan and may help select patients with intracerebral hemorrhage for antiexpansion clinical trials.","author":[{"dropping-particle":"","family":"Morotti","given":"Andrea","non-dropping-particle":"","parse-names":false,"suffix":""},{"dropping-particle":"","family":"Dowlatshahi","given":"Dar","non-dropping-particle":"","parse-names":false,"suffix":""},{"dropping-particle":"","family":"Boulouis","given":"Gregoire","non-dropping-particle":"","parse-names":false,"suffix":""},{"dropping-particle":"","family":"Al-Ajlan","given":"Fahad","non-dropping-particle":"","parse-names":false,"suffix":""},{"dropping-particle":"","family":"Demchuk","given":"Andrew M.","non-dropping-particle":"","parse-names":false,"suffix":""},{"dropping-particle":"","family":"Aviv","given":"Richard I.","non-dropping-particle":"","parse-names":false,"suffix":""},{"dropping-particle":"","family":"Yu","given":"Liyang","non-dropping-particle":"","parse-names":false,"suffix":""},{"dropping-particle":"","family":"Schwab","given":"Kristin","non-dropping-particle":"","parse-names":false,"suffix":""},{"dropping-particle":"","family":"Romero","given":"Javier M.","non-dropping-particle":"","parse-names":false,"suffix":""},{"dropping-particle":"","family":"Gurol","given":"M. Edip","non-dropping-particle":"","parse-names":false,"suffix":""},{"dropping-particle":"","family":"Viswanathan","given":"Anand","non-dropping-particle":"","parse-names":false,"suffix":""},{"dropping-particle":"","family":"Anderson","given":"Christopher D.","non-dropping-particle":"","parse-names":false,"suffix":""},{"dropping-particle":"","family":"Chang","given":"Yuchiao","non-dropping-particle":"","parse-names":false,"suffix":""},{"dropping-particle":"","family":"Greenberg","given":"Steven M.","non-dropping-particle":"","parse-names":false,"suffix":""},{"dropping-particle":"","family":"Qureshi","given":"Adnan I.","non-dropping-particle":"","parse-names":false,"suffix":""},{"dropping-particle":"","family":"Rosand","given":"Jonathan","non-dropping-particle":"","parse-names":false,"suffix":""},{"dropping-particle":"","family":"Goldstein","given":"Joshua N.","non-dropping-particle":"","parse-names":false,"suffix":""},{"dropping-particle":"","family":"Atach-Ii, Nett","given":"and Predict Investigators","non-dropping-particle":"","parse-names":false,"suffix":""}],"container-title":"Stroke","id":"ITEM-1","issued":{"date-parts":[["2018"]]},"page":"STROKEAHA.117.020138","title":"Predicting Intracerebral Hemorrhage Expansion With Noncontrast Computed Tomography","type":"article-journal"},"uris":["http://www.mendeley.com/documents/?uuid=cfde8279-e8fd-4fe7-af06-9706fbda2dca"]}],"mendeley":{"formattedCitation":"&lt;sup&gt;24&lt;/sup&gt;","plainTextFormattedCitation":"24","previouslyFormattedCitation":"&lt;sup&gt;24&lt;/sup&gt;"},"properties":{"noteIndex":0},"schema":"https://github.com/citation-style-language/schema/raw/master/csl-citation.json"}</w:instrText>
            </w:r>
            <w:r w:rsidRPr="009401CC">
              <w:rPr>
                <w:rFonts w:eastAsia="Times New Roman"/>
                <w:color w:val="000000"/>
                <w:sz w:val="20"/>
                <w:szCs w:val="20"/>
              </w:rPr>
              <w:fldChar w:fldCharType="separate"/>
            </w:r>
            <w:r w:rsidRPr="00176CAD">
              <w:rPr>
                <w:rFonts w:eastAsia="Times New Roman"/>
                <w:noProof/>
                <w:color w:val="000000"/>
                <w:sz w:val="20"/>
                <w:szCs w:val="20"/>
                <w:vertAlign w:val="superscript"/>
              </w:rPr>
              <w:t>24</w:t>
            </w:r>
            <w:r w:rsidRPr="009401CC">
              <w:rPr>
                <w:rFonts w:eastAsia="Times New Roman"/>
                <w:color w:val="000000"/>
                <w:sz w:val="20"/>
                <w:szCs w:val="20"/>
              </w:rPr>
              <w:fldChar w:fldCharType="end"/>
            </w:r>
          </w:p>
        </w:tc>
        <w:tc>
          <w:tcPr>
            <w:tcW w:w="382"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2"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2"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N</w:t>
            </w:r>
          </w:p>
        </w:tc>
        <w:tc>
          <w:tcPr>
            <w:tcW w:w="913"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Low</w:t>
            </w:r>
          </w:p>
        </w:tc>
      </w:tr>
      <w:tr w:rsidR="00C941F7" w:rsidRPr="00F022D2" w:rsidTr="00D10CED">
        <w:trPr>
          <w:trHeight w:val="284"/>
        </w:trPr>
        <w:tc>
          <w:tcPr>
            <w:tcW w:w="2706" w:type="dxa"/>
            <w:shd w:val="clear" w:color="auto" w:fill="auto"/>
            <w:noWrap/>
            <w:vAlign w:val="center"/>
            <w:hideMark/>
          </w:tcPr>
          <w:p w:rsidR="00C941F7" w:rsidRPr="00AC3653" w:rsidRDefault="00C941F7" w:rsidP="00D10CED">
            <w:pPr>
              <w:spacing w:after="0"/>
              <w:rPr>
                <w:rFonts w:eastAsia="Times New Roman"/>
                <w:color w:val="000000"/>
                <w:sz w:val="20"/>
                <w:szCs w:val="20"/>
                <w:lang w:val="en-US"/>
              </w:rPr>
            </w:pPr>
            <w:r w:rsidRPr="009401CC">
              <w:rPr>
                <w:rFonts w:eastAsia="Times New Roman"/>
                <w:color w:val="000000"/>
                <w:sz w:val="20"/>
                <w:szCs w:val="20"/>
              </w:rPr>
              <w:t xml:space="preserve">Morotti et al. 2018 </w:t>
            </w:r>
            <w:r w:rsidRPr="009401CC">
              <w:rPr>
                <w:rFonts w:eastAsia="Times New Roman"/>
                <w:color w:val="000000"/>
                <w:sz w:val="20"/>
                <w:szCs w:val="20"/>
              </w:rPr>
              <w:fldChar w:fldCharType="begin" w:fldLock="1"/>
            </w:r>
            <w:r>
              <w:rPr>
                <w:rFonts w:eastAsia="Times New Roman"/>
                <w:color w:val="000000"/>
                <w:sz w:val="20"/>
                <w:szCs w:val="20"/>
              </w:rPr>
              <w:instrText>ADDIN CSL_CITATION {"citationItems":[{"id":"ITEM-1","itemData":{"DOI":"10.1161/STROKEAHA.118.022010","ISSN":"0039-2499","PMID":"30354976","abstract":"Background and Purpose- Noncontrast computed tomographic (CT) hypodensities represent an alternative to the CT angiography spot sign (SS) to predict intracerebral hemorrhage (ICH) expansion. However, previous studies suggested that these markers predicted hematoma expansion independently from each other. We investigated whether the integration of SS and hypodensity (HD) improved the stratification of ICH expansion risk. Methods- A single-center cohort of consecutive patients with ICH was retrospectively analyzed. Patients with available CT angiography, baseline, and follow-up noncontrast CT images available were included. Trained readers reviewed all the images for SS and HD presence, and the study population was classified into 4 groups: SS and HD negative (SS-HD-), SS positive only (SS+HD-), HD positive only (SS-HD+), and SS and HD positive (SS+HD+). ICH expansion was defined as hematoma growth &gt;33% or &gt;6 mL. The association between SS and HD presence and ICH expansion was investigated with multivariable logistic regression. Results- A total of 745 subjects qualified for the analysis (median age, 73 years; 54.1% men). The rates of ICH expansion were 9.3% in SS-HD-, 25.8% in SS+HD-, 27.4% in SS-HD+, and 55.6% in SS+HD+ patients ( P&lt;0.001). After adjustment for potential confounders and keeping SS-HD- subjects as reference, the risk of ICH expansion was increased in SS+HD- and SS-HD+ patients (odds ratio, 2.93, P=0.002 and odds ratio, 3.02, P&lt;0.001, respectively). SS+HD+ subjects had the highest risk of hematoma growth (odds ratio, 9.50; P&lt;0.001). Conclusions- Integration of SS and HD improves the stratification of hematoma growth risk and may help the selection of patients with ICH for antiexpansion treatment in clinical trials.","author":[{"dropping-particle":"","family":"Morotti","given":"Andrea","non-dropping-particle":"","parse-names":false,"suffix":""},{"dropping-particle":"","family":"Boulouis","given":"Gregoire","non-dropping-particle":"","parse-names":false,"suffix":""},{"dropping-particle":"","family":"Charidimou","given":"Andreas","non-dropping-particle":"","parse-names":false,"suffix":""},{"dropping-particle":"","family":"Schwab","given":"Kristin","non-dropping-particle":"","parse-names":false,"suffix":""},{"dropping-particle":"","family":"Kourkoulis","given":"Christina","non-dropping-particle":"","parse-names":false,"suffix":""},{"dr</w:instrText>
            </w:r>
            <w:r w:rsidRPr="00564C52">
              <w:rPr>
                <w:rFonts w:eastAsia="Times New Roman"/>
                <w:color w:val="000000"/>
                <w:sz w:val="20"/>
                <w:szCs w:val="20"/>
                <w:lang w:val="en-US"/>
              </w:rPr>
              <w:instrText>opping-particle":"","family":"Anderson","given":"Christopher D.","non-dropping-particle":"","parse-names":false,"suffix":""},{"dropping-particle":"","family":"Gurol","given":"M. Edip","non-dropping-particle":"","parse-names":false,"suffix":""},{"dropping-particle":"","family":"Viswanathan","given":"Anand","non-dropping-particle":"","parse-names":false,"suffix":""},{"dropping-particle":"","family":"Romero","given":"Javier M.","non-dropping-particle":"","parse-names":false,"suffix":""},{"dropping-particle":"","family":"Greenberg","given":"Steven M.","non-dropping-particle":"","parse-names":false,"suffix":""},{"dropping-particle":"","family":"Rosand","given":"Jonathan","non-dropping-particle":"","parse-names":false,"suffix":""},{"dropping-particle":"","family":"Goldstein","given":"Joshua N.","non-dropping-particle":"","parse-names":false,"suffix":""}],"container-title":"Stroke","id":"ITEM-1","issue":"9","issued":{"date-parts":[["2018","9"]]},"page":"2067-2073","title":"Integration of Computed Tomographic Angiography Spot Sign and Noncontrast Computed Tomographic Hypodensities to Predict Hematoma Expansion","type":"article-journal","volume":"49"},"uris":["http://www.mendeley.com/documents/?uuid=c8b6b795-8a39-3ed8-8dfb-815b1bac8e69"]}],"mendeley":{"formattedCitation":"&lt;sup&gt;25&lt;/sup&gt;","plainTextFormattedCitation":"25","previouslyFormattedCitation":"&lt;sup&gt;25&lt;/sup&gt;"},"properties":{"noteIndex":0},"schema":"https://github.com/citation-style-language/schema/raw/master/csl-citation.json"}</w:instrText>
            </w:r>
            <w:r w:rsidRPr="009401CC">
              <w:rPr>
                <w:rFonts w:eastAsia="Times New Roman"/>
                <w:color w:val="000000"/>
                <w:sz w:val="20"/>
                <w:szCs w:val="20"/>
              </w:rPr>
              <w:fldChar w:fldCharType="separate"/>
            </w:r>
            <w:r w:rsidRPr="00176CAD">
              <w:rPr>
                <w:rFonts w:eastAsia="Times New Roman"/>
                <w:noProof/>
                <w:color w:val="000000"/>
                <w:sz w:val="20"/>
                <w:szCs w:val="20"/>
                <w:vertAlign w:val="superscript"/>
                <w:lang w:val="en-US"/>
              </w:rPr>
              <w:t>25</w:t>
            </w:r>
            <w:r w:rsidRPr="009401CC">
              <w:rPr>
                <w:rFonts w:eastAsia="Times New Roman"/>
                <w:color w:val="000000"/>
                <w:sz w:val="20"/>
                <w:szCs w:val="20"/>
              </w:rPr>
              <w:fldChar w:fldCharType="end"/>
            </w:r>
            <w:r w:rsidRPr="00AC3653">
              <w:rPr>
                <w:rFonts w:eastAsia="Times New Roman"/>
                <w:color w:val="000000"/>
                <w:sz w:val="20"/>
                <w:szCs w:val="20"/>
                <w:lang w:val="en-US"/>
              </w:rPr>
              <w:t xml:space="preserve"> </w:t>
            </w:r>
          </w:p>
        </w:tc>
        <w:tc>
          <w:tcPr>
            <w:tcW w:w="382" w:type="dxa"/>
            <w:shd w:val="clear" w:color="auto" w:fill="auto"/>
            <w:noWrap/>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2"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2"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U</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383"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U</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Y</w:t>
            </w:r>
          </w:p>
        </w:tc>
        <w:tc>
          <w:tcPr>
            <w:tcW w:w="441" w:type="dxa"/>
            <w:shd w:val="clear" w:color="auto" w:fill="auto"/>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N</w:t>
            </w:r>
          </w:p>
        </w:tc>
        <w:tc>
          <w:tcPr>
            <w:tcW w:w="913" w:type="dxa"/>
            <w:shd w:val="clear" w:color="auto" w:fill="auto"/>
            <w:noWrap/>
            <w:vAlign w:val="center"/>
            <w:hideMark/>
          </w:tcPr>
          <w:p w:rsidR="00C941F7" w:rsidRPr="00AC3653"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Low</w:t>
            </w:r>
          </w:p>
        </w:tc>
      </w:tr>
      <w:tr w:rsidR="00C941F7" w:rsidRPr="00F022D2" w:rsidTr="00D10CED">
        <w:trPr>
          <w:trHeight w:val="284"/>
        </w:trPr>
        <w:tc>
          <w:tcPr>
            <w:tcW w:w="2706" w:type="dxa"/>
            <w:shd w:val="clear" w:color="auto" w:fill="auto"/>
            <w:noWrap/>
            <w:vAlign w:val="center"/>
            <w:hideMark/>
          </w:tcPr>
          <w:p w:rsidR="00C941F7" w:rsidRPr="00176CAD" w:rsidRDefault="00C941F7" w:rsidP="00D10CED">
            <w:pPr>
              <w:spacing w:after="0"/>
              <w:rPr>
                <w:rFonts w:eastAsia="Times New Roman"/>
                <w:color w:val="000000"/>
                <w:sz w:val="20"/>
                <w:szCs w:val="20"/>
                <w:lang w:val="en-US"/>
              </w:rPr>
            </w:pPr>
            <w:r w:rsidRPr="00AC3653">
              <w:rPr>
                <w:rFonts w:eastAsia="Times New Roman"/>
                <w:color w:val="000000"/>
                <w:sz w:val="20"/>
                <w:szCs w:val="20"/>
                <w:lang w:val="en-US"/>
              </w:rPr>
              <w:t xml:space="preserve">Yu et al. 2018 </w:t>
            </w:r>
            <w:r w:rsidRPr="009401CC">
              <w:rPr>
                <w:rFonts w:eastAsia="Times New Roman"/>
                <w:color w:val="000000"/>
                <w:sz w:val="20"/>
                <w:szCs w:val="20"/>
              </w:rPr>
              <w:fldChar w:fldCharType="begin" w:fldLock="1"/>
            </w:r>
            <w:r>
              <w:rPr>
                <w:rFonts w:eastAsia="Times New Roman"/>
                <w:color w:val="000000"/>
                <w:sz w:val="20"/>
                <w:szCs w:val="20"/>
                <w:lang w:val="en-US"/>
              </w:rPr>
              <w:instrText>ADDIN CSL_CITATION {"citationItems":[{"id":"ITEM-1","itemData":{"DOI":"10.1016/j.wneu.2017.10.049","ISSN":"1878-8769","PMID":"29054774","abstract":"OBJECTIVE To investigate the association between ultraearly hematoma growth (uHG) and clinical outcome in patients with spontaneous intracerebral hemorrhage (sICH) receiving hematoma evacuation. METHODS Supratentorial sICH patients receiving hematoma evacuation within 24 hours after ictus were enrolled in this study. uHG was defined as baseline hematoma volume/onset-to-computed tomography (CT) time (mL/h). The outcome was assessed by the modified Rankin Scale (mRS) score at 3 months. Unfavorable outcome was defined as mRS &gt;2. RESULTS A total of 93 patients were enrolled in this study. The mean uHG was 10.3 ± 5.5 mL/h. In 69 (74.2%) of patients, the outcome was unfavorable at 3 months. The uHG in patients with unfavorable outcome were significantly higher than in those with favorable outcome (11.0 ± 6.1 mL/h vs. 8.3 ± 2.5 mL/h, P = 0.003). The optimal cutoff of uHG for predicting unfavorable outcome was 8.7 mL/h. The sensitivity, specificity, positive predictive value, and negative predictive value of uHG &gt;8.7 mL/h for predicting unfavorable outcome were 56.5%, 75.0%, 86.7%, and 37.5%, respectively. CONCLUSIONS uHG is a helpful predictor of unfavorable outcome in sICH patients treated with hematoma evacuation. The optimal cutoff of uHG to assist in predicting unfavorable outcome in sICH patients receiving hematoma evacuation is 8.7mL/h.","author":[{"dropping-particle":"","family":"Yu","given":"Zhiyuan","non-dropping-particle":"","parse-names":false,"suffix":""},{"dropping-particle":"","family":"Zheng","given":"Jun","non-dropping-particle":"","parse-names":false,"suffix":""},{"dropping-particle":"","family":"Guo","given":"Rui","non-dropping-particle":"","parse-names":false,"suffix":""},{"dropping-particle":"","family":"Ma","given":"Lu","non-dropping-particle":"","parse-names":false,"suffix":""},{"dropping-particle":"","family":"Li","given":"Mou","non-dropping-particle":"","parse-names":false,"suffix":""},{"dropping-particle":"","family":"Wang","given":"Xiaoze","non-dropping-particle":"","parse-names":false,"suffix":""},{"dropping-particle":"","family":"Lin","given":"Sen","non-dropping-particle":"","parse-names":false,"suffix":""},{"dropping-particle":"","family":"You","given":"Chao","non-dropping-particle":"","parse-names":false,"suffix":""},{"dropping-particle":"","family":"Li","given":"Hao","non-dropping-particle":"","parse-names":false,"suffix":""}],"container-title":"World neurosurgery","id":"ITEM-1","issued":{"date-parts":[["2018","1"]]},"page":"e651-e654","title":"Prognostic Significance of Ultraearly Hematoma Growth in Spontaneous Intracerebral Hemorrhage Patients Receiving Hematoma Evacuation.","type":"article-journal","volume":"109"},"uris":["http://www.mendeley.com/documents/?uuid=424727b6-8911-3aff-8413-7ec4b2bd4442"]}],"mendeley":{"formattedCitation":"&lt;sup&gt;26&lt;/sup&gt;","plainTextFormattedCitation":"26","previouslyFormattedCitation":"&lt;sup&gt;26&lt;/sup&gt;"},"properties":{"noteIndex":0},"schema":"https://github.com/citation-style-language/schema/raw/master/csl-citation.json"}</w:instrText>
            </w:r>
            <w:r w:rsidRPr="009401CC">
              <w:rPr>
                <w:rFonts w:eastAsia="Times New Roman"/>
                <w:color w:val="000000"/>
                <w:sz w:val="20"/>
                <w:szCs w:val="20"/>
              </w:rPr>
              <w:fldChar w:fldCharType="separate"/>
            </w:r>
            <w:r w:rsidRPr="00176CAD">
              <w:rPr>
                <w:rFonts w:eastAsia="Times New Roman"/>
                <w:noProof/>
                <w:color w:val="000000"/>
                <w:sz w:val="20"/>
                <w:szCs w:val="20"/>
                <w:vertAlign w:val="superscript"/>
                <w:lang w:val="en-US"/>
              </w:rPr>
              <w:t>26</w:t>
            </w:r>
            <w:r w:rsidRPr="009401CC">
              <w:rPr>
                <w:rFonts w:eastAsia="Times New Roman"/>
                <w:color w:val="000000"/>
                <w:sz w:val="20"/>
                <w:szCs w:val="20"/>
              </w:rPr>
              <w:fldChar w:fldCharType="end"/>
            </w:r>
            <w:r w:rsidRPr="00176CAD">
              <w:rPr>
                <w:rFonts w:eastAsia="Times New Roman"/>
                <w:color w:val="000000"/>
                <w:sz w:val="20"/>
                <w:szCs w:val="20"/>
                <w:lang w:val="en-US"/>
              </w:rPr>
              <w:t xml:space="preserve"> </w:t>
            </w:r>
          </w:p>
        </w:tc>
        <w:tc>
          <w:tcPr>
            <w:tcW w:w="382" w:type="dxa"/>
            <w:shd w:val="clear" w:color="auto" w:fill="auto"/>
            <w:noWrap/>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2"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2"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U</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383"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U</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U</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Y</w:t>
            </w:r>
          </w:p>
        </w:tc>
        <w:tc>
          <w:tcPr>
            <w:tcW w:w="441" w:type="dxa"/>
            <w:shd w:val="clear" w:color="auto" w:fill="auto"/>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N</w:t>
            </w:r>
          </w:p>
        </w:tc>
        <w:tc>
          <w:tcPr>
            <w:tcW w:w="913" w:type="dxa"/>
            <w:shd w:val="clear" w:color="auto" w:fill="auto"/>
            <w:noWrap/>
            <w:vAlign w:val="center"/>
            <w:hideMark/>
          </w:tcPr>
          <w:p w:rsidR="00C941F7" w:rsidRPr="00176CAD" w:rsidRDefault="00C941F7" w:rsidP="00D10CED">
            <w:pPr>
              <w:spacing w:after="0"/>
              <w:rPr>
                <w:rFonts w:eastAsia="Times New Roman"/>
                <w:color w:val="000000"/>
                <w:sz w:val="20"/>
                <w:szCs w:val="20"/>
                <w:lang w:val="en-US"/>
              </w:rPr>
            </w:pPr>
            <w:r w:rsidRPr="00176CAD">
              <w:rPr>
                <w:rFonts w:eastAsia="Times New Roman"/>
                <w:color w:val="000000"/>
                <w:sz w:val="20"/>
                <w:szCs w:val="20"/>
                <w:lang w:val="en-US"/>
              </w:rPr>
              <w:t>Unclear</w:t>
            </w:r>
          </w:p>
        </w:tc>
      </w:tr>
      <w:tr w:rsidR="00C941F7" w:rsidRPr="00F022D2" w:rsidTr="00D10CED">
        <w:trPr>
          <w:trHeight w:val="284"/>
        </w:trPr>
        <w:tc>
          <w:tcPr>
            <w:tcW w:w="2706" w:type="dxa"/>
            <w:shd w:val="clear" w:color="auto" w:fill="auto"/>
            <w:noWrap/>
            <w:vAlign w:val="center"/>
          </w:tcPr>
          <w:p w:rsidR="00C941F7" w:rsidRPr="001A2F73"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 xml:space="preserve">Zhang et al. 2018 </w:t>
            </w:r>
            <w:r w:rsidRPr="009401CC">
              <w:rPr>
                <w:rFonts w:eastAsia="Times New Roman"/>
                <w:color w:val="000000"/>
                <w:sz w:val="20"/>
                <w:szCs w:val="20"/>
              </w:rPr>
              <w:fldChar w:fldCharType="begin" w:fldLock="1"/>
            </w:r>
            <w:r>
              <w:rPr>
                <w:rFonts w:eastAsia="Times New Roman"/>
                <w:color w:val="000000"/>
                <w:sz w:val="20"/>
                <w:szCs w:val="20"/>
                <w:lang w:val="en-US"/>
              </w:rPr>
              <w:instrText>ADDIN CSL_CITATION {"citationItems":[{"id":"ITEM-1","itemData":{"DOI":"10.1016/J.WNEU.2018.08.056","ISSN":"1878-8750","abstract":"BACKGROUND\nThe island sign is a novel imaging predictor for early hematoma growth, implying multifocal active bleeding. The prognostic value of the island sign for long-term outcome in patients with intracranial hemorrhage (ICH) remains unrevealed. The aim of this study is to investigate associations between the island land and long-term prognosis in patients with ICH. \n\nMETHODS\nBoth clinical characteristics and radiologic parameters were retrospectively obtained from electronic medical records. According to the initial and follow-up computed tomography scans of patients, hematoma expansion and the island sign were determined independently with 2 experienced physicians. Multivariate logistic regression analyses were used to explore the associations of hematoma expansion, 1-year poor outcome, and 1-year death on other clinical variables. \n\nRESULTS\nA total of 322 patients were included, and 126 of them presented with early hematoma expansion, with 81 exhibiting the island sign. There were 116 patients who died, and 157 patients with ICH had poor outcome at the first year after onset. The multivariate logistic regression analyses revealed that initial Glasgow Coma Scale score, hematoma size, and presence of intraventricular hemorrhage and island sign were strongly associated with long-term poor outcomes. \n\nCONCLUSIONS\nThe island sign is an easy-to-use and novel imaging marker which predicts both early hematoma expansion and long-term poor prognosis.","author":[{"dropping-particle":"","family":"Zhang","given":"Fan","non-dropping-particle":"","parse-names":false,"suffix":""},{"dropping-particle":"","family":"Li","given":"Hao","non-dropping-particle":"","parse-names":false,"suffix":""},{"dropping-particle":"","family":"Qian","given":"Juan","non-dropping-particle":"","parse-names":false,"suffix":""},{"dropping-particle":"","family":"Zhang","given":"Si","non-dropping-particle":"","parse-names":false,"suffix":""},{"dropping-particle":"","family":"Tao","given":"Chuanyan","non-dropping-particle":"","parse-names":false,"suffix":""},{"dropping-particle":"","family":"You","given":"Chao","non-dropping-particle":"","parse-names":false,"suffix":""},{"dropping-particle":"","family":"Yang","given":"Mu","non-dropping-particle":"","parse-names":false,"suffix":""}],"container-title":"World Neurosurgery","id":"ITEM-1","issued":{"date-parts":[["2018","12","1"]]},"page":"e304-e312","publisher":"Elsevier","title":"Island Sign Predicts Long-Term Poor Outcome and Mortality in Patients with Intracerebral Hemorrhage","type":"article-journal","volume":"120"},"uris":["http://www.mendeley.com/documents/?uuid=ef2026e6-0d0b-3f83-ad45-1803f2ad04e7"]}],"mendeley":{"formattedCitation":"&lt;sup&gt;27&lt;/sup&gt;","plainTextFormattedCitation":"27","previouslyFormattedCitation":"&lt;sup&gt;27&lt;/sup&gt;"},"properties":{"noteIndex":0},"schema":"https://github.com/citation-style-language/schema/raw/master/csl-citation.json"}</w:instrText>
            </w:r>
            <w:r w:rsidRPr="009401CC">
              <w:rPr>
                <w:rFonts w:eastAsia="Times New Roman"/>
                <w:color w:val="000000"/>
                <w:sz w:val="20"/>
                <w:szCs w:val="20"/>
              </w:rPr>
              <w:fldChar w:fldCharType="separate"/>
            </w:r>
            <w:r w:rsidRPr="001A2F73">
              <w:rPr>
                <w:rFonts w:eastAsia="Times New Roman"/>
                <w:noProof/>
                <w:color w:val="000000"/>
                <w:sz w:val="20"/>
                <w:szCs w:val="20"/>
                <w:vertAlign w:val="superscript"/>
                <w:lang w:val="en-US"/>
              </w:rPr>
              <w:t>27</w:t>
            </w:r>
            <w:r w:rsidRPr="009401CC">
              <w:rPr>
                <w:rFonts w:eastAsia="Times New Roman"/>
                <w:color w:val="000000"/>
                <w:sz w:val="20"/>
                <w:szCs w:val="20"/>
              </w:rPr>
              <w:fldChar w:fldCharType="end"/>
            </w:r>
            <w:r w:rsidRPr="001A2F73">
              <w:rPr>
                <w:rFonts w:eastAsia="Times New Roman"/>
                <w:color w:val="000000"/>
                <w:sz w:val="20"/>
                <w:szCs w:val="20"/>
                <w:lang w:val="en-US"/>
              </w:rPr>
              <w:t xml:space="preserve"> </w:t>
            </w:r>
          </w:p>
        </w:tc>
        <w:tc>
          <w:tcPr>
            <w:tcW w:w="382" w:type="dxa"/>
            <w:shd w:val="clear" w:color="auto" w:fill="auto"/>
            <w:noWrap/>
            <w:vAlign w:val="center"/>
          </w:tcPr>
          <w:p w:rsidR="00C941F7" w:rsidRPr="001A2F73" w:rsidRDefault="00C941F7" w:rsidP="00D10CED">
            <w:pPr>
              <w:spacing w:after="0"/>
              <w:rPr>
                <w:rFonts w:eastAsia="Times New Roman"/>
                <w:color w:val="000000"/>
                <w:sz w:val="20"/>
                <w:szCs w:val="20"/>
                <w:lang w:val="en-US"/>
              </w:rPr>
            </w:pPr>
            <w:r w:rsidRPr="001A2F73">
              <w:rPr>
                <w:rFonts w:eastAsia="Times New Roman"/>
                <w:color w:val="000000"/>
                <w:sz w:val="20"/>
                <w:szCs w:val="20"/>
                <w:lang w:val="en-US"/>
              </w:rPr>
              <w:t>Y</w:t>
            </w:r>
          </w:p>
        </w:tc>
        <w:tc>
          <w:tcPr>
            <w:tcW w:w="382" w:type="dxa"/>
            <w:shd w:val="clear" w:color="auto" w:fill="auto"/>
            <w:vAlign w:val="center"/>
          </w:tcPr>
          <w:p w:rsidR="00C941F7" w:rsidRPr="001A2F73" w:rsidRDefault="00C941F7" w:rsidP="00D10CED">
            <w:pPr>
              <w:spacing w:after="0"/>
              <w:rPr>
                <w:rFonts w:eastAsia="Times New Roman"/>
                <w:color w:val="000000"/>
                <w:sz w:val="20"/>
                <w:szCs w:val="20"/>
                <w:lang w:val="en-US"/>
              </w:rPr>
            </w:pPr>
            <w:r w:rsidRPr="001A2F73">
              <w:rPr>
                <w:rFonts w:eastAsia="Times New Roman"/>
                <w:color w:val="000000"/>
                <w:sz w:val="20"/>
                <w:szCs w:val="20"/>
                <w:lang w:val="en-US"/>
              </w:rPr>
              <w:t>Y</w:t>
            </w:r>
          </w:p>
        </w:tc>
        <w:tc>
          <w:tcPr>
            <w:tcW w:w="382" w:type="dxa"/>
            <w:shd w:val="clear" w:color="auto" w:fill="auto"/>
            <w:vAlign w:val="center"/>
          </w:tcPr>
          <w:p w:rsidR="00C941F7" w:rsidRPr="001A2F73" w:rsidRDefault="00C941F7" w:rsidP="00D10CED">
            <w:pPr>
              <w:spacing w:after="0"/>
              <w:rPr>
                <w:rFonts w:eastAsia="Times New Roman"/>
                <w:color w:val="000000"/>
                <w:sz w:val="20"/>
                <w:szCs w:val="20"/>
                <w:lang w:val="en-US"/>
              </w:rPr>
            </w:pPr>
            <w:r w:rsidRPr="001A2F73">
              <w:rPr>
                <w:rFonts w:eastAsia="Times New Roman"/>
                <w:color w:val="000000"/>
                <w:sz w:val="20"/>
                <w:szCs w:val="20"/>
                <w:lang w:val="en-US"/>
              </w:rPr>
              <w:t>U</w:t>
            </w:r>
          </w:p>
        </w:tc>
        <w:tc>
          <w:tcPr>
            <w:tcW w:w="383" w:type="dxa"/>
            <w:shd w:val="clear" w:color="auto" w:fill="auto"/>
            <w:vAlign w:val="center"/>
          </w:tcPr>
          <w:p w:rsidR="00C941F7" w:rsidRPr="001A2F73" w:rsidRDefault="00C941F7" w:rsidP="00D10CED">
            <w:pPr>
              <w:spacing w:after="0"/>
              <w:rPr>
                <w:rFonts w:eastAsia="Times New Roman"/>
                <w:color w:val="000000"/>
                <w:sz w:val="20"/>
                <w:szCs w:val="20"/>
                <w:lang w:val="en-US"/>
              </w:rPr>
            </w:pPr>
            <w:r w:rsidRPr="001A2F73">
              <w:rPr>
                <w:rFonts w:eastAsia="Times New Roman"/>
                <w:color w:val="000000"/>
                <w:sz w:val="20"/>
                <w:szCs w:val="20"/>
                <w:lang w:val="en-US"/>
              </w:rPr>
              <w:t>Y</w:t>
            </w:r>
          </w:p>
        </w:tc>
        <w:tc>
          <w:tcPr>
            <w:tcW w:w="383" w:type="dxa"/>
            <w:shd w:val="clear" w:color="auto" w:fill="auto"/>
            <w:vAlign w:val="center"/>
          </w:tcPr>
          <w:p w:rsidR="00C941F7" w:rsidRPr="001A2F73" w:rsidRDefault="00C941F7" w:rsidP="00D10CED">
            <w:pPr>
              <w:spacing w:after="0"/>
              <w:rPr>
                <w:rFonts w:eastAsia="Times New Roman"/>
                <w:color w:val="000000"/>
                <w:sz w:val="20"/>
                <w:szCs w:val="20"/>
                <w:lang w:val="en-US"/>
              </w:rPr>
            </w:pPr>
            <w:r w:rsidRPr="001A2F73">
              <w:rPr>
                <w:rFonts w:eastAsia="Times New Roman"/>
                <w:color w:val="000000"/>
                <w:sz w:val="20"/>
                <w:szCs w:val="20"/>
                <w:lang w:val="en-US"/>
              </w:rPr>
              <w:t>Y</w:t>
            </w:r>
          </w:p>
        </w:tc>
        <w:tc>
          <w:tcPr>
            <w:tcW w:w="383" w:type="dxa"/>
            <w:shd w:val="clear" w:color="auto" w:fill="auto"/>
            <w:vAlign w:val="center"/>
          </w:tcPr>
          <w:p w:rsidR="00C941F7" w:rsidRPr="001A2F73" w:rsidRDefault="00C941F7" w:rsidP="00D10CED">
            <w:pPr>
              <w:spacing w:after="0"/>
              <w:rPr>
                <w:rFonts w:eastAsia="Times New Roman"/>
                <w:color w:val="000000"/>
                <w:sz w:val="20"/>
                <w:szCs w:val="20"/>
                <w:lang w:val="en-US"/>
              </w:rPr>
            </w:pPr>
            <w:r w:rsidRPr="001A2F73">
              <w:rPr>
                <w:rFonts w:eastAsia="Times New Roman"/>
                <w:color w:val="000000"/>
                <w:sz w:val="20"/>
                <w:szCs w:val="20"/>
                <w:lang w:val="en-US"/>
              </w:rPr>
              <w:t>Y</w:t>
            </w:r>
          </w:p>
        </w:tc>
        <w:tc>
          <w:tcPr>
            <w:tcW w:w="383" w:type="dxa"/>
            <w:shd w:val="clear" w:color="auto" w:fill="auto"/>
            <w:vAlign w:val="center"/>
          </w:tcPr>
          <w:p w:rsidR="00C941F7" w:rsidRPr="001A2F73" w:rsidRDefault="00C941F7" w:rsidP="00D10CED">
            <w:pPr>
              <w:spacing w:after="0"/>
              <w:rPr>
                <w:rFonts w:eastAsia="Times New Roman"/>
                <w:color w:val="000000"/>
                <w:sz w:val="20"/>
                <w:szCs w:val="20"/>
                <w:lang w:val="en-US"/>
              </w:rPr>
            </w:pPr>
            <w:r w:rsidRPr="001A2F73">
              <w:rPr>
                <w:rFonts w:eastAsia="Times New Roman"/>
                <w:color w:val="000000"/>
                <w:sz w:val="20"/>
                <w:szCs w:val="20"/>
                <w:lang w:val="en-US"/>
              </w:rPr>
              <w:t>Y</w:t>
            </w:r>
          </w:p>
        </w:tc>
        <w:tc>
          <w:tcPr>
            <w:tcW w:w="383" w:type="dxa"/>
            <w:shd w:val="clear" w:color="auto" w:fill="auto"/>
            <w:vAlign w:val="center"/>
          </w:tcPr>
          <w:p w:rsidR="00C941F7" w:rsidRPr="001A2F73" w:rsidRDefault="00C941F7" w:rsidP="00D10CED">
            <w:pPr>
              <w:spacing w:after="0"/>
              <w:rPr>
                <w:rFonts w:eastAsia="Times New Roman"/>
                <w:color w:val="000000"/>
                <w:sz w:val="20"/>
                <w:szCs w:val="20"/>
                <w:lang w:val="en-US"/>
              </w:rPr>
            </w:pPr>
            <w:r w:rsidRPr="001A2F73">
              <w:rPr>
                <w:rFonts w:eastAsia="Times New Roman"/>
                <w:color w:val="000000"/>
                <w:sz w:val="20"/>
                <w:szCs w:val="20"/>
                <w:lang w:val="en-US"/>
              </w:rPr>
              <w:t>Y</w:t>
            </w:r>
          </w:p>
        </w:tc>
        <w:tc>
          <w:tcPr>
            <w:tcW w:w="383" w:type="dxa"/>
            <w:shd w:val="clear" w:color="auto" w:fill="auto"/>
            <w:vAlign w:val="center"/>
          </w:tcPr>
          <w:p w:rsidR="00C941F7" w:rsidRPr="001A2F73" w:rsidRDefault="00C941F7" w:rsidP="00D10CED">
            <w:pPr>
              <w:spacing w:after="0"/>
              <w:rPr>
                <w:rFonts w:eastAsia="Times New Roman"/>
                <w:color w:val="000000"/>
                <w:sz w:val="20"/>
                <w:szCs w:val="20"/>
                <w:lang w:val="en-US"/>
              </w:rPr>
            </w:pPr>
            <w:r w:rsidRPr="001A2F73">
              <w:rPr>
                <w:rFonts w:eastAsia="Times New Roman"/>
                <w:color w:val="000000"/>
                <w:sz w:val="20"/>
                <w:szCs w:val="20"/>
                <w:lang w:val="en-US"/>
              </w:rPr>
              <w:t>Y</w:t>
            </w:r>
          </w:p>
        </w:tc>
        <w:tc>
          <w:tcPr>
            <w:tcW w:w="441" w:type="dxa"/>
            <w:shd w:val="clear" w:color="auto" w:fill="auto"/>
            <w:vAlign w:val="center"/>
          </w:tcPr>
          <w:p w:rsidR="00C941F7" w:rsidRPr="001A2F73" w:rsidRDefault="00C941F7" w:rsidP="00D10CED">
            <w:pPr>
              <w:spacing w:after="0"/>
              <w:rPr>
                <w:rFonts w:eastAsia="Times New Roman"/>
                <w:color w:val="000000"/>
                <w:sz w:val="20"/>
                <w:szCs w:val="20"/>
                <w:lang w:val="en-US"/>
              </w:rPr>
            </w:pPr>
            <w:r w:rsidRPr="001A2F73">
              <w:rPr>
                <w:rFonts w:eastAsia="Times New Roman"/>
                <w:color w:val="000000"/>
                <w:sz w:val="20"/>
                <w:szCs w:val="20"/>
                <w:lang w:val="en-US"/>
              </w:rPr>
              <w:t>Y</w:t>
            </w:r>
          </w:p>
        </w:tc>
        <w:tc>
          <w:tcPr>
            <w:tcW w:w="441" w:type="dxa"/>
            <w:shd w:val="clear" w:color="auto" w:fill="auto"/>
            <w:vAlign w:val="center"/>
          </w:tcPr>
          <w:p w:rsidR="00C941F7" w:rsidRPr="001A2F73" w:rsidRDefault="00C941F7" w:rsidP="00D10CED">
            <w:pPr>
              <w:spacing w:after="0"/>
              <w:rPr>
                <w:rFonts w:eastAsia="Times New Roman"/>
                <w:color w:val="000000"/>
                <w:sz w:val="20"/>
                <w:szCs w:val="20"/>
                <w:lang w:val="en-US"/>
              </w:rPr>
            </w:pPr>
            <w:r w:rsidRPr="001A2F73">
              <w:rPr>
                <w:rFonts w:eastAsia="Times New Roman"/>
                <w:color w:val="000000"/>
                <w:sz w:val="20"/>
                <w:szCs w:val="20"/>
                <w:lang w:val="en-US"/>
              </w:rPr>
              <w:t>Y</w:t>
            </w:r>
          </w:p>
        </w:tc>
        <w:tc>
          <w:tcPr>
            <w:tcW w:w="441" w:type="dxa"/>
            <w:shd w:val="clear" w:color="auto" w:fill="auto"/>
            <w:vAlign w:val="center"/>
          </w:tcPr>
          <w:p w:rsidR="00C941F7" w:rsidRPr="001A2F73" w:rsidRDefault="00C941F7" w:rsidP="00D10CED">
            <w:pPr>
              <w:spacing w:after="0"/>
              <w:rPr>
                <w:rFonts w:eastAsia="Times New Roman"/>
                <w:color w:val="000000"/>
                <w:sz w:val="20"/>
                <w:szCs w:val="20"/>
                <w:lang w:val="en-US"/>
              </w:rPr>
            </w:pPr>
            <w:r w:rsidRPr="001A2F73">
              <w:rPr>
                <w:rFonts w:eastAsia="Times New Roman"/>
                <w:color w:val="000000"/>
                <w:sz w:val="20"/>
                <w:szCs w:val="20"/>
                <w:lang w:val="en-US"/>
              </w:rPr>
              <w:t>U</w:t>
            </w:r>
          </w:p>
        </w:tc>
        <w:tc>
          <w:tcPr>
            <w:tcW w:w="441" w:type="dxa"/>
            <w:shd w:val="clear" w:color="auto" w:fill="auto"/>
            <w:vAlign w:val="center"/>
          </w:tcPr>
          <w:p w:rsidR="00C941F7" w:rsidRPr="001A2F73" w:rsidRDefault="00C941F7" w:rsidP="00D10CED">
            <w:pPr>
              <w:spacing w:after="0"/>
              <w:rPr>
                <w:rFonts w:eastAsia="Times New Roman"/>
                <w:color w:val="000000"/>
                <w:sz w:val="20"/>
                <w:szCs w:val="20"/>
                <w:lang w:val="en-US"/>
              </w:rPr>
            </w:pPr>
            <w:r w:rsidRPr="001A2F73">
              <w:rPr>
                <w:rFonts w:eastAsia="Times New Roman"/>
                <w:color w:val="000000"/>
                <w:sz w:val="20"/>
                <w:szCs w:val="20"/>
                <w:lang w:val="en-US"/>
              </w:rPr>
              <w:t>U</w:t>
            </w:r>
          </w:p>
        </w:tc>
        <w:tc>
          <w:tcPr>
            <w:tcW w:w="441" w:type="dxa"/>
            <w:shd w:val="clear" w:color="auto" w:fill="auto"/>
            <w:vAlign w:val="center"/>
          </w:tcPr>
          <w:p w:rsidR="00C941F7" w:rsidRPr="001A2F73" w:rsidRDefault="00C941F7" w:rsidP="00D10CED">
            <w:pPr>
              <w:spacing w:after="0"/>
              <w:rPr>
                <w:rFonts w:eastAsia="Times New Roman"/>
                <w:color w:val="000000"/>
                <w:sz w:val="20"/>
                <w:szCs w:val="20"/>
                <w:lang w:val="en-US"/>
              </w:rPr>
            </w:pPr>
            <w:r w:rsidRPr="001A2F73">
              <w:rPr>
                <w:rFonts w:eastAsia="Times New Roman"/>
                <w:color w:val="000000"/>
                <w:sz w:val="20"/>
                <w:szCs w:val="20"/>
                <w:lang w:val="en-US"/>
              </w:rPr>
              <w:t>Y</w:t>
            </w:r>
          </w:p>
        </w:tc>
        <w:tc>
          <w:tcPr>
            <w:tcW w:w="441" w:type="dxa"/>
            <w:shd w:val="clear" w:color="auto" w:fill="auto"/>
            <w:vAlign w:val="center"/>
          </w:tcPr>
          <w:p w:rsidR="00C941F7" w:rsidRPr="001A2F73" w:rsidRDefault="00C941F7" w:rsidP="00D10CED">
            <w:pPr>
              <w:spacing w:after="0"/>
              <w:rPr>
                <w:rFonts w:eastAsia="Times New Roman"/>
                <w:color w:val="000000"/>
                <w:sz w:val="20"/>
                <w:szCs w:val="20"/>
                <w:lang w:val="en-US"/>
              </w:rPr>
            </w:pPr>
            <w:r w:rsidRPr="001A2F73">
              <w:rPr>
                <w:rFonts w:eastAsia="Times New Roman"/>
                <w:color w:val="000000"/>
                <w:sz w:val="20"/>
                <w:szCs w:val="20"/>
                <w:lang w:val="en-US"/>
              </w:rPr>
              <w:t>Y</w:t>
            </w:r>
          </w:p>
        </w:tc>
        <w:tc>
          <w:tcPr>
            <w:tcW w:w="441" w:type="dxa"/>
            <w:shd w:val="clear" w:color="auto" w:fill="auto"/>
            <w:vAlign w:val="center"/>
          </w:tcPr>
          <w:p w:rsidR="00C941F7" w:rsidRPr="001A2F73" w:rsidRDefault="00C941F7" w:rsidP="00D10CED">
            <w:pPr>
              <w:spacing w:after="0"/>
              <w:rPr>
                <w:rFonts w:eastAsia="Times New Roman"/>
                <w:color w:val="000000"/>
                <w:sz w:val="20"/>
                <w:szCs w:val="20"/>
                <w:lang w:val="en-US"/>
              </w:rPr>
            </w:pPr>
            <w:r w:rsidRPr="001A2F73">
              <w:rPr>
                <w:rFonts w:eastAsia="Times New Roman"/>
                <w:color w:val="000000"/>
                <w:sz w:val="20"/>
                <w:szCs w:val="20"/>
                <w:lang w:val="en-US"/>
              </w:rPr>
              <w:t>Y</w:t>
            </w:r>
          </w:p>
        </w:tc>
        <w:tc>
          <w:tcPr>
            <w:tcW w:w="441" w:type="dxa"/>
            <w:shd w:val="clear" w:color="auto" w:fill="auto"/>
            <w:vAlign w:val="center"/>
          </w:tcPr>
          <w:p w:rsidR="00C941F7" w:rsidRPr="001A2F73" w:rsidRDefault="00C941F7" w:rsidP="00D10CED">
            <w:pPr>
              <w:spacing w:after="0"/>
              <w:rPr>
                <w:rFonts w:eastAsia="Times New Roman"/>
                <w:color w:val="000000"/>
                <w:sz w:val="20"/>
                <w:szCs w:val="20"/>
                <w:lang w:val="en-US"/>
              </w:rPr>
            </w:pPr>
            <w:r w:rsidRPr="001A2F73">
              <w:rPr>
                <w:rFonts w:eastAsia="Times New Roman"/>
                <w:color w:val="000000"/>
                <w:sz w:val="20"/>
                <w:szCs w:val="20"/>
                <w:lang w:val="en-US"/>
              </w:rPr>
              <w:t>N</w:t>
            </w:r>
          </w:p>
        </w:tc>
        <w:tc>
          <w:tcPr>
            <w:tcW w:w="913" w:type="dxa"/>
            <w:shd w:val="clear" w:color="auto" w:fill="auto"/>
            <w:noWrap/>
            <w:vAlign w:val="center"/>
          </w:tcPr>
          <w:p w:rsidR="00C941F7" w:rsidRPr="001A2F73" w:rsidRDefault="00C941F7" w:rsidP="00D10CED">
            <w:pPr>
              <w:spacing w:after="0"/>
              <w:rPr>
                <w:rFonts w:eastAsia="Times New Roman"/>
                <w:color w:val="000000"/>
                <w:sz w:val="20"/>
                <w:szCs w:val="20"/>
                <w:lang w:val="en-US"/>
              </w:rPr>
            </w:pPr>
            <w:r w:rsidRPr="001A2F73">
              <w:rPr>
                <w:rFonts w:eastAsia="Times New Roman"/>
                <w:color w:val="000000"/>
                <w:sz w:val="20"/>
                <w:szCs w:val="20"/>
                <w:lang w:val="en-US"/>
              </w:rPr>
              <w:t>Unclear</w:t>
            </w:r>
          </w:p>
        </w:tc>
      </w:tr>
      <w:tr w:rsidR="00C941F7" w:rsidRPr="009401CC" w:rsidTr="00D10CED">
        <w:trPr>
          <w:trHeight w:val="284"/>
        </w:trPr>
        <w:tc>
          <w:tcPr>
            <w:tcW w:w="2706" w:type="dxa"/>
            <w:shd w:val="clear" w:color="auto" w:fill="auto"/>
            <w:noWrap/>
            <w:vAlign w:val="center"/>
            <w:hideMark/>
          </w:tcPr>
          <w:p w:rsidR="00C941F7" w:rsidRPr="009401CC" w:rsidRDefault="00C941F7" w:rsidP="00D10CED">
            <w:pPr>
              <w:spacing w:after="0"/>
              <w:rPr>
                <w:rFonts w:eastAsia="Times New Roman"/>
                <w:color w:val="000000"/>
                <w:sz w:val="20"/>
                <w:szCs w:val="20"/>
              </w:rPr>
            </w:pPr>
            <w:proofErr w:type="spellStart"/>
            <w:r w:rsidRPr="001A2F73">
              <w:rPr>
                <w:rFonts w:eastAsia="Times New Roman"/>
                <w:color w:val="000000"/>
                <w:sz w:val="20"/>
                <w:szCs w:val="20"/>
                <w:lang w:val="en-US"/>
              </w:rPr>
              <w:t>Elkhatib</w:t>
            </w:r>
            <w:proofErr w:type="spellEnd"/>
            <w:r w:rsidRPr="001A2F73">
              <w:rPr>
                <w:rFonts w:eastAsia="Times New Roman"/>
                <w:color w:val="000000"/>
                <w:sz w:val="20"/>
                <w:szCs w:val="20"/>
                <w:lang w:val="en-US"/>
              </w:rPr>
              <w:t xml:space="preserve"> et al. 2019 </w:t>
            </w:r>
            <w:r w:rsidRPr="009401CC">
              <w:rPr>
                <w:rFonts w:eastAsia="Times New Roman"/>
                <w:color w:val="000000"/>
                <w:sz w:val="20"/>
                <w:szCs w:val="20"/>
              </w:rPr>
              <w:fldChar w:fldCharType="begin" w:fldLock="1"/>
            </w:r>
            <w:r w:rsidRPr="001A2F73">
              <w:rPr>
                <w:rFonts w:eastAsia="Times New Roman"/>
                <w:color w:val="000000"/>
                <w:sz w:val="20"/>
                <w:szCs w:val="20"/>
                <w:lang w:val="en-US"/>
              </w:rPr>
              <w:instrText xml:space="preserve">ADDIN CSL_CITATION {"citationItems":[{"id":"ITEM-1","itemData":{"DOI":"10.1016/j.jstrokecerebrovasdis.2019.04.038","ISSN":"1532-8511","PMID":"31133486","abstract":"BACKGROUND Intracerebral hemorrhage (ICH) is considered a devastating neurologic emergency and carried a higher morbidity and mortality rates. Early hematoma expansion (HE) is considered one of the poor prognostic factors after ICH. Consequently, determination of the possible risk factors for HE could be effective in early detection of high-risk patients and hence directing management course aiming to improving ICH outcome. METHODS One-hundred and thirty-six spontaneous ICH patients were included and prospectively evaluated for the presence of HE. Demographic, laboratory, and certain radiological factors were studied and compared between those with HE and those without, the in-hospital mortality rates were assessed as well. RESULTS HE was observed in 30% of the studied cohort, those who developed HE had more neurologic impairment (Glasgow coma scale, median 9; National Institute of Health Stroke Scale, median 34), and higher in-hospital mortality rate (53.6%) than those without HE. HE was related to the presence of higher red blood cell distribution width (RDW), reduced total cholesterol, low-density lipoprotein-C (LDL-C), and Ca levels. Among the radiological factors, hematoma density (heterogeneous), and shape (irregular) are highly related to </w:instrText>
            </w:r>
            <w:r>
              <w:rPr>
                <w:rFonts w:eastAsia="Times New Roman"/>
                <w:color w:val="000000"/>
                <w:sz w:val="20"/>
                <w:szCs w:val="20"/>
              </w:rPr>
              <w:instrText>the occurrence of HE. The computed tomography angiography (CTA) spot sign among patients with ICH was associated with HE development. CONCLUSIONS Abnormal RDW; low cholesterol, LDL, and Ca level; heterogeneous density, irregular shape hemorrhage, and presence of CTA spot sign were associated with the development of HE in the setting of spontaneous ICH.","author":[{"dropping-particle":"","family":"Elkhatib","given":"Takwa H M","non-dropping-particle":"","parse-names":false,"suffix":""},{"dropping-particle":"","family":"Shehta","given":"Nahed","non-dropping-particle":"","parse-names":false,"suffix":""},{"dropping-particle":"","family":"Bessar","given":"Ahmad Awad","non-dropping-particle":"","parse-names":false,"suffix":""}],"container-title":"Journal of stroke and cerebrovascular diseases : the official journal of National Stroke Association","id":"ITEM-1","issued":{"date-parts":[["2019","5","24"]]},"title":"Hematoma Expansion Predictors: Laboratory and Radiological Risk Factors in Patients with Acute Intracerebral Hemorrhage: A Prospective Observational Study.","type":"article-journal"},"uris":["http://www.mendeley.com/documents/?uuid=e88ae860-732a-3ca0-802d-960caf7c0fc3"]}],"mendeley":{"formattedCitation":"&lt;sup&gt;28&lt;/sup&gt;","plainTextFormattedCitation":"28","previouslyFormattedCitation":"&lt;sup&gt;28&lt;/sup&gt;"},"properties":{"noteIndex":0},"schema":"https://github.com/citation-style-language/schema/raw/master/csl-citation.json"}</w:instrText>
            </w:r>
            <w:r w:rsidRPr="009401CC">
              <w:rPr>
                <w:rFonts w:eastAsia="Times New Roman"/>
                <w:color w:val="000000"/>
                <w:sz w:val="20"/>
                <w:szCs w:val="20"/>
              </w:rPr>
              <w:fldChar w:fldCharType="separate"/>
            </w:r>
            <w:r w:rsidRPr="00564C52">
              <w:rPr>
                <w:rFonts w:eastAsia="Times New Roman"/>
                <w:noProof/>
                <w:color w:val="000000"/>
                <w:sz w:val="20"/>
                <w:szCs w:val="20"/>
                <w:vertAlign w:val="superscript"/>
              </w:rPr>
              <w:t>28</w:t>
            </w:r>
            <w:r w:rsidRPr="009401CC">
              <w:rPr>
                <w:rFonts w:eastAsia="Times New Roman"/>
                <w:color w:val="000000"/>
                <w:sz w:val="20"/>
                <w:szCs w:val="20"/>
              </w:rPr>
              <w:fldChar w:fldCharType="end"/>
            </w:r>
          </w:p>
        </w:tc>
        <w:tc>
          <w:tcPr>
            <w:tcW w:w="382"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2"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2"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N</w:t>
            </w:r>
          </w:p>
        </w:tc>
        <w:tc>
          <w:tcPr>
            <w:tcW w:w="913"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Unclear</w:t>
            </w:r>
          </w:p>
        </w:tc>
      </w:tr>
      <w:tr w:rsidR="00C941F7" w:rsidRPr="009401CC" w:rsidTr="00D10CED">
        <w:trPr>
          <w:trHeight w:val="284"/>
        </w:trPr>
        <w:tc>
          <w:tcPr>
            <w:tcW w:w="2706"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 xml:space="preserve">Yogendrakumar et al. 2019 </w:t>
            </w:r>
            <w:r w:rsidRPr="009401CC">
              <w:rPr>
                <w:rFonts w:eastAsia="Times New Roman"/>
                <w:color w:val="000000"/>
                <w:sz w:val="20"/>
                <w:szCs w:val="20"/>
              </w:rPr>
              <w:fldChar w:fldCharType="begin" w:fldLock="1"/>
            </w:r>
            <w:r>
              <w:rPr>
                <w:rFonts w:eastAsia="Times New Roman"/>
                <w:color w:val="000000"/>
                <w:sz w:val="20"/>
                <w:szCs w:val="20"/>
              </w:rPr>
              <w:instrText>ADDIN CSL_CITATION {"citationItems":[{"id":"ITEM-1","itemData":{"DOI":"10.1007/s12028-019-00740-5","ISSN":"1541-6933","author":[{"dropping-particle":"","family":"Yogendrakumar","given":"Vignan","non-dropping-particle":"","parse-names":false,"suffix":""},{"dropping-particle":"","family":"Ramsay","given":"Tim","non-dropping-particle":"","parse-names":false,"suffix":""},{"dropping-particle":"","family":"Fergusson","given":"Dean A.","non-dropping-particle":"","parse-names":false,"suffix":""},{"dropping-particle":"","family":"Demchuk","given":"Andrew M.","non-dropping-particle":"","parse-names":false,"suffix":""},{"dropping-particle":"","family":"Aviv","given":"Richard I.","non-dropping-particle":"","parse-names":false,"suffix":""},{"dropping-particle":"","family":"Rodriguez-Luna","given":"David","non-dropping-particle":"","parse-names":false,"suffix":""},{"dropping-particle":"","family":"Molina","given":"Carlos A.","non-dropping-particle":"","parse-names":false,"suffix":""},{"dropping-particle":"","family":"Silva Blas","given":"Yolanda","non-dropping-particle":"","parse-names":false,"suffix":""},{"dropping-particle":"","family":"Dzialowski","given":"Imanuel","non-dropping-particle":"","parse-names":false,"suffix":""},{"dropping-particle":"","family":"Kobayashi","given":"Adam","non-dropping-particle":"","parse-names":false,"suffix":""},{"dropping-particle":"","family":"Boulanger","given":"Jean-Martin","non-dropping-particle":"","parse-names":false,"suffix":""},{"dropping-particle":"","family":"Lum","given":"Cheemun","non-dropping-particle":"","parse-names":false,"suffix":""},{"dropping-particle":"","family":"Gubitz","given":"Gord","non-dropping-particle":"","parse-names":false,"suffix":""},{"dropping-particle":"","family":"Srivastava","given":"Padma","non-dropping-particle":"","parse-names":false,"suffix":""},{"dropping-particle":"","family":"Roy","given":"Jayanta","non-dropping-particle":"","parse-names":false,"suffix":""},{"dropping-particle":"","family":"Kase","given":"Carlos S.","non-dropping-particle":"","parse-names":false,"suffix":""},{"dropping-particle":"","family":"Bhatia","given":"Rohit","non-dropping-particle":"","parse-names":false,"suffix":""},{"dropping-particle":"","family":"Hill","given":"Michael D.","non-dropping-particle":"","parse-names":false,"suffix":""},{"dropping-particle":"","family":"Selim","given":"Magdy","non-dropping-particle":"","parse-names":false,"suffix":""},{"dropping-particle":"","family":"Dowlatshahi","given":"Dar","non-dropping-particle":"","parse-names":false,"suffix":""},{"dropping-particle":"","family":"Group","given":"the PREDICT/Sunnybrook CTA Study","non-dropping-particle":"","parse-names":false,"suffix":""}],"container-title":"Neurocritical Care","id":"ITEM-1","issued":{"date-parts":[["2019","5","23"]]},"page":"1-8","publisher":"Springer US","title":"Independent Validation of the Hematoma Expansion Prediction Score: A Non-contrast Score Equivalent in Accuracy to the Spot Sign","type":"article-journal"},"uris":["http://www.mendeley.com/documents/?uuid=45e1483e-02bb-37d1-93cd-ecd88f0b15be"]}],"mendeley":{"formattedCitation":"&lt;sup&gt;29&lt;/sup&gt;","plainTextFormattedCitation":"29","previouslyFormattedCitation":"&lt;sup&gt;29&lt;/sup&gt;"},"properties":{"noteIndex":0},"schema":"https://github.com/citation-style-language/schema/raw/master/csl-citation.json"}</w:instrText>
            </w:r>
            <w:r w:rsidRPr="009401CC">
              <w:rPr>
                <w:rFonts w:eastAsia="Times New Roman"/>
                <w:color w:val="000000"/>
                <w:sz w:val="20"/>
                <w:szCs w:val="20"/>
              </w:rPr>
              <w:fldChar w:fldCharType="separate"/>
            </w:r>
            <w:r w:rsidRPr="00564C52">
              <w:rPr>
                <w:rFonts w:eastAsia="Times New Roman"/>
                <w:noProof/>
                <w:color w:val="000000"/>
                <w:sz w:val="20"/>
                <w:szCs w:val="20"/>
                <w:vertAlign w:val="superscript"/>
              </w:rPr>
              <w:t>29</w:t>
            </w:r>
            <w:r w:rsidRPr="009401CC">
              <w:rPr>
                <w:rFonts w:eastAsia="Times New Roman"/>
                <w:color w:val="000000"/>
                <w:sz w:val="20"/>
                <w:szCs w:val="20"/>
              </w:rPr>
              <w:fldChar w:fldCharType="end"/>
            </w:r>
          </w:p>
        </w:tc>
        <w:tc>
          <w:tcPr>
            <w:tcW w:w="382"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2"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2"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N</w:t>
            </w:r>
          </w:p>
        </w:tc>
        <w:tc>
          <w:tcPr>
            <w:tcW w:w="913"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Unclear</w:t>
            </w:r>
          </w:p>
        </w:tc>
      </w:tr>
      <w:tr w:rsidR="00C941F7" w:rsidRPr="009401CC" w:rsidTr="00D10CED">
        <w:trPr>
          <w:trHeight w:val="284"/>
        </w:trPr>
        <w:tc>
          <w:tcPr>
            <w:tcW w:w="2706"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 xml:space="preserve">Park et al. 2019 </w:t>
            </w:r>
            <w:r w:rsidRPr="009401CC">
              <w:rPr>
                <w:rFonts w:eastAsia="Times New Roman"/>
                <w:color w:val="000000"/>
                <w:sz w:val="20"/>
                <w:szCs w:val="20"/>
              </w:rPr>
              <w:fldChar w:fldCharType="begin" w:fldLock="1"/>
            </w:r>
            <w:r>
              <w:rPr>
                <w:rFonts w:eastAsia="Times New Roman"/>
                <w:color w:val="000000"/>
                <w:sz w:val="20"/>
                <w:szCs w:val="20"/>
              </w:rPr>
              <w:instrText>ADDIN CSL_CITATION {"citationItems":[{"id":"ITEM-1","itemData":{"DOI":"10.1016/j.clineuro.2019.05.013","ISSN":"1872-6968","PMID":"31121472","abstract":"OBJECTIVE Intracranial hemorrhage (ICH) expansion is a predictor of poor clinical outcome. ICH expansion can be predicted with a swirl sign on noncontrast computed tomography (NCCT) and/or a spot sign on computed tomographic angiography (CTA). In this study, we aimed to evaluate the diagnostic value of a swirl sign and a spot sign in identifying hematoma expansion. PATIENTS AND METHODS Patients with spontaneous ICH between January 2013 and August 2018 who underwent an initial NCCT and CTA, and a subsequent NCCT at a single center were retrospectively identified. Two experienced neuroradiologists reviewed all images for swirl sign and spot sign presence using a 4-point scale for receiver-operative characteristic analysis. ICH expansion was defined as volume growth of &gt;33% or &gt;6 mL. RESULTS A total of 227 patients, including 54 with ICH expansion, qualified for analysis. For both observers, the area under the curve (AUC) of spot sign was significantly higher than that of swirl sign (observer 1: 0.748 vs. 0.577, p = .002; observer 2: 0.749 vs. 0.589, p = .004). The sensitivities of ICH expansion in patients with a spot sign was significantly higher than patients with a swirl sign (observer 1: 54.1% vs. 28.0%, p = .002; observer 2: 56.9% vs. 30.3%, p = .002). Patients with a spot sign had the highest risk of ICH expansion (odds ratio: observer 1 = 8.14, observer 2 = 9.30, p &lt; 0.001). CONCLUSIONS A spot sign on CTA was identified and associated with ICH expansion. A swirl sign on NCCT had a relatively low sensitivity and AUC, and will not be able to replace spot sign on CTA.","author":[{"dropping-particle":"","family":"Park","given":"Bo Kyoung","non-dropping-particle":"","parse-names":false,"suffix":""},{"dropping-particle":"","family":"Kwak","given":"Hyo Sung","non-dropping-particle":"","parse-names":false,"suffix":""},{"dropping-particle":"","family":"Chung","given":"Gyung Ho","non-dropping-particle":"","parse-names":false,"suffix":""},{"dropping-particle":"","family":"Hwang","given":"Seung Bae","non-dropping-particle":"","parse-names":false,"suffix":""}],"container-title":"Clinical neurology and neurosurgery","id":"ITEM-1","issued":{"date-parts":[["2019","7"]]},"page":"130-135","title":"Diagnostic value of swirl sign on noncontrast computed tomography and spot sign on computed tomographic angiography to predict intracranial hemorrhage expansion.","type":"article-journal","volume":"182"},"uris":["http://www.mendeley.com/documents/?uuid=c24b6035-e2f8-3cfe-b99b-c0be39af7956"]}],"mendeley":{"formattedCitation":"&lt;sup&gt;30&lt;/sup&gt;","plainTextFormattedCitation":"30","previouslyFormattedCitation":"&lt;sup&gt;30&lt;/sup&gt;"},"properties":{"noteIndex":0},"schema":"https://github.com/citation-style-language/schema/raw/master/csl-citation.json"}</w:instrText>
            </w:r>
            <w:r w:rsidRPr="009401CC">
              <w:rPr>
                <w:rFonts w:eastAsia="Times New Roman"/>
                <w:color w:val="000000"/>
                <w:sz w:val="20"/>
                <w:szCs w:val="20"/>
              </w:rPr>
              <w:fldChar w:fldCharType="separate"/>
            </w:r>
            <w:r w:rsidRPr="00564C52">
              <w:rPr>
                <w:rFonts w:eastAsia="Times New Roman"/>
                <w:noProof/>
                <w:color w:val="000000"/>
                <w:sz w:val="20"/>
                <w:szCs w:val="20"/>
                <w:vertAlign w:val="superscript"/>
              </w:rPr>
              <w:t>30</w:t>
            </w:r>
            <w:r w:rsidRPr="009401CC">
              <w:rPr>
                <w:rFonts w:eastAsia="Times New Roman"/>
                <w:color w:val="000000"/>
                <w:sz w:val="20"/>
                <w:szCs w:val="20"/>
              </w:rPr>
              <w:fldChar w:fldCharType="end"/>
            </w:r>
          </w:p>
        </w:tc>
        <w:tc>
          <w:tcPr>
            <w:tcW w:w="382"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2"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2"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N</w:t>
            </w:r>
          </w:p>
        </w:tc>
        <w:tc>
          <w:tcPr>
            <w:tcW w:w="913"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Unclear</w:t>
            </w:r>
          </w:p>
        </w:tc>
      </w:tr>
      <w:tr w:rsidR="00C941F7" w:rsidRPr="009401CC" w:rsidTr="00D10CED">
        <w:trPr>
          <w:trHeight w:val="284"/>
        </w:trPr>
        <w:tc>
          <w:tcPr>
            <w:tcW w:w="2706"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 xml:space="preserve">Yu et al. 2019 </w:t>
            </w:r>
            <w:r w:rsidRPr="009401CC">
              <w:rPr>
                <w:rFonts w:eastAsia="Times New Roman"/>
                <w:color w:val="000000"/>
                <w:sz w:val="20"/>
                <w:szCs w:val="20"/>
              </w:rPr>
              <w:fldChar w:fldCharType="begin" w:fldLock="1"/>
            </w:r>
            <w:r>
              <w:rPr>
                <w:rFonts w:eastAsia="Times New Roman"/>
                <w:color w:val="000000"/>
                <w:sz w:val="20"/>
                <w:szCs w:val="20"/>
              </w:rPr>
              <w:instrText>ADDIN CSL_CITATION {"citationItems":[{"id":"ITEM-1","itemData":{"DOI":"10.1016/j.wneu.2019.02.125","ISSN":"18788750","PMID":"30844526","abstract":"OBJECTIVE The BAT score is a novel prediction score of hematoma expansion based on noncontrast computed tomography (CT) and consists of the blend sign, hypodensities, and time interval from onset to CT. This study aimed to compare the BAT score and the spot sign on CT angiography in a cohort of patients with spontaneous intracerebral hemorrhage. METHODS Eligible patients with spontaneous intracerebral hemorrhage were analyzed retrospectively. The BAT score and the spot sign were assessed according to the criteria described in previous studies. Receiver operating curve analysis was used to assess the performance of the BAT score and the spot sign in hematoma expansion prediction. RESULTS In 225 included patients, 34 (15.1%) had a BAT score ≥3. The spot sign was shown in 68 (30.2%) patients. Hematoma expansion was identified in 56 (24.9%) patients. In multivariate analysis, both BAT score ≥3 and presence of spot sign were independently correlated with hematoma expansion. BAT score ≥3 had 0.41 sensitivity and 0.93 specificity, and spot sign had 0.64 sensitivity and 0.81 specificity. The area under the curve of BAT score ≥3 and area under the curve of spot sign were 0.673 and 0.727, respectively (P = 0.386). CONCLUSIONS The BAT score based on noncontrast CT is a good predictor of hematoma expansion. When CT angiography spot sign is unobtainable, the BAT score can be used to predict hematoma expansion.","author":[{"dropping-particle":"","family":"Yu","given":"Zhiyuan","non-dropping-particle":"","parse-names":false,"suffix":""},{"dropping-particle":"","family":"Zheng","given":"Jun","non-dropping-particle":"","parse-names":false,"suffix":""},{"dropping-particle":"","family":"Xia","given":"Fan","non-dropping-particle":"","parse-names":false,"suffix":""},{"dropping-particle":"","family":"Guo","given":"Rui","non-dropping-particle":"","parse-names":false,"suffix":""},{"dropping-particle":"","family":"Ma","given":"Lu","non-dropping-particle":"","parse-names":false,"suffix":""},{"dropping-particle":"","family":"You","given":"Chao","non-dropping-particle":"","parse-names":false,"suffix":""},{"dropping-particle":"","family":"Li","given":"Hao","non-dropping-particle":"","parse-names":false,"suffix":""}],"container-title":"World Neurosurgery","id":"ITEM-1","issued":{"date-parts":[["2019","3","4"]]},"title":"BAT Score Versus Spot Sign in Predicting Intracerebral Hemorrhage Expansion","type":"article-journal"},"uris":["http://www.mendeley.com/documents/?uuid=1dbd203c-27c5-33b1-abc0-f65b0d2e8c85"]}],"mendeley":{"formattedCitation":"&lt;sup&gt;31&lt;/sup&gt;","plainTextFormattedCitation":"31","previouslyFormattedCitation":"&lt;sup&gt;31&lt;/sup&gt;"},"properties":{"noteIndex":0},"schema":"https://github.com/citation-style-language/schema/raw/master/csl-citation.json"}</w:instrText>
            </w:r>
            <w:r w:rsidRPr="009401CC">
              <w:rPr>
                <w:rFonts w:eastAsia="Times New Roman"/>
                <w:color w:val="000000"/>
                <w:sz w:val="20"/>
                <w:szCs w:val="20"/>
              </w:rPr>
              <w:fldChar w:fldCharType="separate"/>
            </w:r>
            <w:r w:rsidRPr="00564C52">
              <w:rPr>
                <w:rFonts w:eastAsia="Times New Roman"/>
                <w:noProof/>
                <w:color w:val="000000"/>
                <w:sz w:val="20"/>
                <w:szCs w:val="20"/>
                <w:vertAlign w:val="superscript"/>
              </w:rPr>
              <w:t>31</w:t>
            </w:r>
            <w:r w:rsidRPr="009401CC">
              <w:rPr>
                <w:rFonts w:eastAsia="Times New Roman"/>
                <w:color w:val="000000"/>
                <w:sz w:val="20"/>
                <w:szCs w:val="20"/>
              </w:rPr>
              <w:fldChar w:fldCharType="end"/>
            </w:r>
          </w:p>
        </w:tc>
        <w:tc>
          <w:tcPr>
            <w:tcW w:w="382"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2"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2"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N</w:t>
            </w:r>
          </w:p>
        </w:tc>
        <w:tc>
          <w:tcPr>
            <w:tcW w:w="913"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Unclear</w:t>
            </w:r>
          </w:p>
        </w:tc>
      </w:tr>
      <w:tr w:rsidR="00C941F7" w:rsidRPr="009401CC" w:rsidTr="00D10CED">
        <w:trPr>
          <w:trHeight w:val="284"/>
        </w:trPr>
        <w:tc>
          <w:tcPr>
            <w:tcW w:w="2706"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 xml:space="preserve">Zhang et al. 2019 </w:t>
            </w:r>
            <w:r w:rsidRPr="009401CC">
              <w:rPr>
                <w:rFonts w:eastAsia="Times New Roman"/>
                <w:color w:val="000000"/>
                <w:sz w:val="20"/>
                <w:szCs w:val="20"/>
              </w:rPr>
              <w:fldChar w:fldCharType="begin" w:fldLock="1"/>
            </w:r>
            <w:r>
              <w:rPr>
                <w:rFonts w:eastAsia="Times New Roman"/>
                <w:color w:val="000000"/>
                <w:sz w:val="20"/>
                <w:szCs w:val="20"/>
              </w:rPr>
              <w:instrText>ADDIN CSL_CITATION {"citationItems":[{"id":"ITEM-1","itemData":{"DOI":"10.1016/j.jns.2018.11.022","ISSN":"0022510X","PMID":"30471632","abstract":"OBJECTIVES It is well known that early hematoma expansion is associated with short-term prognosis of patients with intracranial hemorrhage (ICH). And spot sign is recognized as a reliable computed tomography angiography (CTA) predictor for early hematoma expansion. Recently, island sign is also reported as a novel computed tomography (CT) predictor for early hematoma growth. Here, we compared the predictive abilities of these two signs for short-term outcomes of ICH patients. PATIENTS AND METHODS All the ICH patients were retrospectively identified. Clinical characteristics and radiological parameters were obtained from electronic medical records. Hematoma expansion, spot sign and island sign were assessed by two senior neurologists according to the initial and follow-up CT scans. 3-months prognoses were estimated according to Glasgow outcome scale (GOS). Multivariate logistic regression analyses were employed to explore the associations of short-term prognosis on island sign, spot sign and other clinical variables. RESULTS There were 283 ICH patients included. 113 of them presented with early hematoma expansions. 66 of them exhibited island sign, while spot sign occurred in 85 patients. Univariate analyses demonstrated that GCS score at admission (OR: 0.464, 95%CI: 0.395-0.547), hematoma volume (OR:1.062, 95%CI: 1.041-1.083), interventricular extension(OR:9.528, 95%CI: 3.915-23.187), island sign (OR: 4.595, 95%CI: 2.404-8.784) and spot sign (OR: 4.052, 95%CI: 2.297-7.147) were correlated with 3-months morbidity. Moreover, multivariate logistic regression analyses further revealed that both spot sign (OR: 3.413, 95%CI: 1.570-7.422) and island sign (OR: 7.564, 95%CI: 2.969-19.273) were strongly associated with 3-months poor outcome and have comparable predictive values (AUC: 0.636 vs. 0.622, P = .58). However, spot sign exhibited a superior predictive ability for 3-months mortality compared to island sign (OR: 2.713, 95%CI: 1.570-4.217 vs. OR: 2.362, 95%CI: 1.238-3.899, AUC: 0.700 vs. 0.603, P &lt; .01). CONCLUSIONS Island sign is not just a convenient and reliable predictor for short-term prognosis of ICH patients, but also could be used as an indicator for accurate diagnosis and aggressive treatment.","author":[{"dropping-particle":"","family":"Zhang","given":"Fan","non-dropping-particle":"","parse-names":false,"suffix":""},{"dropping-particle":"","family":"Zhang","given":"Si","non-dropping-particle":"","parse-names":false,"suffix":""},{"dropping-particle":"","family":"Tao","given":"Chuanyuan","non-dropping-particle":"","parse-names":false,"suffix":""},{"dropping-particle":"","family":"Yang","given":"Zijia","non-dropping-particle":"","parse-names":false,"suffix":""},{"dropping-particle":"","family":"You","given":"Chao","non-dropping-particle":"","parse-names":false,"suffix":""},{"dropping-particle":"","family":"Yang","given":"Mu","non-dropping-particle":"","parse-names":false,"suffix":""}],"container-title":"Journal of the Neurological Sciences","id":"ITEM-1","issued":{"date-parts":[["2019","1","15"]]},"page":"133-139","title":"The comparative study of island sign and the spot sign in predicting short-term prognosis of patients with intracerebral hemorrhage","type":"article-journal","volume":"396"},"uris":["http://www.mendeley.com/documents/?uuid=2bb81de0-92a3-3e8d-8e35-6cac4926f6f5"]}],"mendeley":{"formattedCitation":"&lt;sup&gt;32&lt;/sup&gt;","plainTextFormattedCitation":"32","previouslyFormattedCitation":"&lt;sup&gt;32&lt;/sup&gt;"},"properties":{"noteIndex":0},"schema":"https://github.com/citation-style-language/schema/raw/master/csl-citation.json"}</w:instrText>
            </w:r>
            <w:r w:rsidRPr="009401CC">
              <w:rPr>
                <w:rFonts w:eastAsia="Times New Roman"/>
                <w:color w:val="000000"/>
                <w:sz w:val="20"/>
                <w:szCs w:val="20"/>
              </w:rPr>
              <w:fldChar w:fldCharType="separate"/>
            </w:r>
            <w:r w:rsidRPr="00564C52">
              <w:rPr>
                <w:rFonts w:eastAsia="Times New Roman"/>
                <w:noProof/>
                <w:color w:val="000000"/>
                <w:sz w:val="20"/>
                <w:szCs w:val="20"/>
                <w:vertAlign w:val="superscript"/>
              </w:rPr>
              <w:t>32</w:t>
            </w:r>
            <w:r w:rsidRPr="009401CC">
              <w:rPr>
                <w:rFonts w:eastAsia="Times New Roman"/>
                <w:color w:val="000000"/>
                <w:sz w:val="20"/>
                <w:szCs w:val="20"/>
              </w:rPr>
              <w:fldChar w:fldCharType="end"/>
            </w:r>
            <w:r w:rsidRPr="009401CC">
              <w:rPr>
                <w:rFonts w:eastAsia="Times New Roman"/>
                <w:color w:val="000000"/>
                <w:sz w:val="20"/>
                <w:szCs w:val="20"/>
              </w:rPr>
              <w:t xml:space="preserve"> </w:t>
            </w:r>
          </w:p>
        </w:tc>
        <w:tc>
          <w:tcPr>
            <w:tcW w:w="382"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2"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2"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383"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Y</w:t>
            </w:r>
          </w:p>
        </w:tc>
        <w:tc>
          <w:tcPr>
            <w:tcW w:w="441" w:type="dxa"/>
            <w:shd w:val="clear" w:color="auto" w:fill="auto"/>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N</w:t>
            </w:r>
          </w:p>
        </w:tc>
        <w:tc>
          <w:tcPr>
            <w:tcW w:w="913" w:type="dxa"/>
            <w:shd w:val="clear" w:color="auto" w:fill="auto"/>
            <w:noWrap/>
            <w:vAlign w:val="center"/>
            <w:hideMark/>
          </w:tcPr>
          <w:p w:rsidR="00C941F7" w:rsidRPr="009401CC" w:rsidRDefault="00C941F7" w:rsidP="00D10CED">
            <w:pPr>
              <w:spacing w:after="0"/>
              <w:rPr>
                <w:rFonts w:eastAsia="Times New Roman"/>
                <w:color w:val="000000"/>
                <w:sz w:val="20"/>
                <w:szCs w:val="20"/>
              </w:rPr>
            </w:pPr>
            <w:r w:rsidRPr="009401CC">
              <w:rPr>
                <w:rFonts w:eastAsia="Times New Roman"/>
                <w:color w:val="000000"/>
                <w:sz w:val="20"/>
                <w:szCs w:val="20"/>
              </w:rPr>
              <w:t>Unclear</w:t>
            </w:r>
          </w:p>
        </w:tc>
      </w:tr>
      <w:tr w:rsidR="00C941F7" w:rsidRPr="00F022D2" w:rsidTr="00D10CED">
        <w:trPr>
          <w:trHeight w:val="284"/>
        </w:trPr>
        <w:tc>
          <w:tcPr>
            <w:tcW w:w="2706" w:type="dxa"/>
            <w:shd w:val="clear" w:color="auto" w:fill="auto"/>
            <w:noWrap/>
            <w:vAlign w:val="center"/>
            <w:hideMark/>
          </w:tcPr>
          <w:p w:rsidR="00C941F7" w:rsidRPr="00564C52" w:rsidRDefault="00C941F7" w:rsidP="00D10CED">
            <w:pPr>
              <w:spacing w:after="0"/>
              <w:rPr>
                <w:rFonts w:eastAsia="Times New Roman"/>
                <w:color w:val="000000"/>
                <w:sz w:val="20"/>
                <w:szCs w:val="20"/>
                <w:lang w:val="en-US"/>
              </w:rPr>
            </w:pPr>
            <w:r w:rsidRPr="009401CC">
              <w:rPr>
                <w:rFonts w:eastAsia="Times New Roman"/>
                <w:color w:val="000000"/>
                <w:sz w:val="20"/>
                <w:szCs w:val="20"/>
              </w:rPr>
              <w:t xml:space="preserve">Yu et al. 2019 </w:t>
            </w:r>
            <w:r w:rsidRPr="009401CC">
              <w:rPr>
                <w:rFonts w:eastAsia="Times New Roman"/>
                <w:color w:val="000000"/>
                <w:sz w:val="20"/>
                <w:szCs w:val="20"/>
              </w:rPr>
              <w:fldChar w:fldCharType="begin" w:fldLock="1"/>
            </w:r>
            <w:r>
              <w:rPr>
                <w:rFonts w:eastAsia="Times New Roman"/>
                <w:color w:val="000000"/>
                <w:sz w:val="20"/>
                <w:szCs w:val="20"/>
              </w:rPr>
              <w:instrText>ADDIN CSL_CITATION {"citationItems":[{"id":"ITEM-1","itemData":{"DOI":"10.1016/j.wneu.2018.09.172","ISSN":"18788750","PMID":"30292034","abstract":"OBJECTIVE Among several novel predictors on noncontrast computed tomography (CT) for hematoma expansion in spontaneous intracerebral hemorrhage (sICH), shape irregularity grade, satellite sign, and island sign are all related to irregular shape of hematoma. This study is aimed to compare the accuracy of these imaging markers for predicting hematoma expansion in the same cohort of sICH patients. METHODS This retrospective study enrolled sICH patients who underwent diagnostic computed tomography (CT) scans within 6 hours after onset and another follow-up CT scan within 24 hours after initial CT scan. Shape irregularity grade, satellite sign, and island sign were assessed according to the definitions in previous studies. The accuracy of these imaging indicators for predicting hematoma expansion was analyzed using receiver operator analysis. RESULTS Finally, a total of 196 patients were included. Shape irregularity grade ≥3 was found in 87 (44.39%) patients, satellite sign was identified in 76 (38.78%) patients, and island sign was shown in only 41 (20.92%) patients. Only island sign remained an independent predictor for hematoma expansion in multivariate logistic regression. The sensitivity values of shape irregularity grade ≥3, satellite sign, and island sign were 0.52, 0.63, and 0.48, respectively. By contrast, the specificity values of these 3 predictors were 0.58, 0.69, and 0.85, respectively. Shape irregularity grade ≥3 had the smallest area under the curve (0.597), and island sign had the largest (0.676). CONCLUSIONS Island sign seems to be the optimal shape-related predictor for hematoma expansion in sICH patients and could be included in the future predictive model for hematoma expansion.","author":[{"dropping-particle":"","family":"Yu","given":"Zhiyuan","non-dropping</w:instrText>
            </w:r>
            <w:r w:rsidRPr="00564C52">
              <w:rPr>
                <w:rFonts w:eastAsia="Times New Roman"/>
                <w:color w:val="000000"/>
                <w:sz w:val="20"/>
                <w:szCs w:val="20"/>
                <w:lang w:val="en-US"/>
              </w:rPr>
              <w:instrText>-particle":"","parse-names":false,"suffix":""},{"dropping-particle":"","family":"Zheng","given":"Jun","non-dropping-particle":"","parse-names":false,"suffix":""},{"dropping-particle":"","family":"Li","given":"Mou","non-dropping-particle":"","parse-names":false,"suffix":""},{"dropping-particle":"","family":"Wang","given":"Xiaoze","non-dropping-particle":"","parse-names":false,"suffix":""},{"dropping-particle":"","family":"Guo","given":"Rui","non-dropping-particle":"","parse-names":false,"suffix":""},{"dropping-particle":"","family":"Ma","given":"Lu","non-dropping-particle":"","parse-names":false,"suffix":""},{"dropping-particle":"","family":"You","given":"Chao","non-dropping-particle":"","parse-names":false,"suffix":""},{"dropping-particle":"","family":"Li","given":"Hao","non-dropping-particle":"","parse-names":false,"suffix":""}],"container-title":"World Neurosurgery","id":"ITEM-1","issued":{"date-parts":[["2019","1"]]},"page":"e584-e588","title":"Determining the Optimal Shape-Related Indicator on Noncontrast Computed Tomography for Predicting Hematoma Expansion in Spontaneous Intracerebral Hemorrhage","type":"article-journal","volume":"121"},"uris":["http://www.mendeley.com/documents/?uuid=229b9083-2260-3546-86de-876bc724b88a"]}],"mendeley":{"formattedCitation":"&lt;sup&gt;33&lt;/sup&gt;","plainTextFormattedCitation":"33","previouslyFormattedCitation":"&lt;sup&gt;33&lt;/sup&gt;"},"properties":{"noteIndex":0},"schema":"https://github.com/citation-style-language/schema/raw/master/csl-citation.json"}</w:instrText>
            </w:r>
            <w:r w:rsidRPr="009401CC">
              <w:rPr>
                <w:rFonts w:eastAsia="Times New Roman"/>
                <w:color w:val="000000"/>
                <w:sz w:val="20"/>
                <w:szCs w:val="20"/>
              </w:rPr>
              <w:fldChar w:fldCharType="separate"/>
            </w:r>
            <w:r w:rsidRPr="00564C52">
              <w:rPr>
                <w:rFonts w:eastAsia="Times New Roman"/>
                <w:noProof/>
                <w:color w:val="000000"/>
                <w:sz w:val="20"/>
                <w:szCs w:val="20"/>
                <w:vertAlign w:val="superscript"/>
                <w:lang w:val="en-US"/>
              </w:rPr>
              <w:t>33</w:t>
            </w:r>
            <w:r w:rsidRPr="009401CC">
              <w:rPr>
                <w:rFonts w:eastAsia="Times New Roman"/>
                <w:color w:val="000000"/>
                <w:sz w:val="20"/>
                <w:szCs w:val="20"/>
              </w:rPr>
              <w:fldChar w:fldCharType="end"/>
            </w:r>
            <w:r w:rsidRPr="00564C52">
              <w:rPr>
                <w:rFonts w:eastAsia="Times New Roman"/>
                <w:color w:val="000000"/>
                <w:sz w:val="20"/>
                <w:szCs w:val="20"/>
                <w:lang w:val="en-US"/>
              </w:rPr>
              <w:t xml:space="preserve"> </w:t>
            </w:r>
          </w:p>
        </w:tc>
        <w:tc>
          <w:tcPr>
            <w:tcW w:w="382" w:type="dxa"/>
            <w:shd w:val="clear" w:color="auto" w:fill="auto"/>
            <w:noWrap/>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382"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382"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U</w:t>
            </w:r>
          </w:p>
        </w:tc>
        <w:tc>
          <w:tcPr>
            <w:tcW w:w="383"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383"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383"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383"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383"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383"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441"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441"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441"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U</w:t>
            </w:r>
          </w:p>
        </w:tc>
        <w:tc>
          <w:tcPr>
            <w:tcW w:w="441"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U</w:t>
            </w:r>
          </w:p>
        </w:tc>
        <w:tc>
          <w:tcPr>
            <w:tcW w:w="441"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441"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441"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Y</w:t>
            </w:r>
          </w:p>
        </w:tc>
        <w:tc>
          <w:tcPr>
            <w:tcW w:w="441" w:type="dxa"/>
            <w:shd w:val="clear" w:color="auto" w:fill="auto"/>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N</w:t>
            </w:r>
          </w:p>
        </w:tc>
        <w:tc>
          <w:tcPr>
            <w:tcW w:w="913" w:type="dxa"/>
            <w:shd w:val="clear" w:color="auto" w:fill="auto"/>
            <w:noWrap/>
            <w:vAlign w:val="center"/>
            <w:hideMark/>
          </w:tcPr>
          <w:p w:rsidR="00C941F7" w:rsidRPr="00564C52" w:rsidRDefault="00C941F7" w:rsidP="00D10CED">
            <w:pPr>
              <w:spacing w:after="0"/>
              <w:rPr>
                <w:rFonts w:eastAsia="Times New Roman"/>
                <w:color w:val="000000"/>
                <w:sz w:val="20"/>
                <w:szCs w:val="20"/>
                <w:lang w:val="en-US"/>
              </w:rPr>
            </w:pPr>
            <w:r w:rsidRPr="00564C52">
              <w:rPr>
                <w:rFonts w:eastAsia="Times New Roman"/>
                <w:color w:val="000000"/>
                <w:sz w:val="20"/>
                <w:szCs w:val="20"/>
                <w:lang w:val="en-US"/>
              </w:rPr>
              <w:t>Unclear</w:t>
            </w:r>
          </w:p>
        </w:tc>
      </w:tr>
    </w:tbl>
    <w:p w:rsidR="00C941F7" w:rsidRDefault="00C941F7" w:rsidP="00C941F7">
      <w:pPr>
        <w:jc w:val="center"/>
        <w:rPr>
          <w:b/>
          <w:noProof/>
          <w:sz w:val="20"/>
          <w:szCs w:val="20"/>
          <w:u w:val="single"/>
          <w:lang w:val="en-US" w:eastAsia="it-IT"/>
        </w:rPr>
      </w:pPr>
    </w:p>
    <w:p w:rsidR="00C941F7" w:rsidRPr="00AC3653" w:rsidRDefault="00C941F7" w:rsidP="00C941F7">
      <w:pPr>
        <w:rPr>
          <w:b/>
          <w:noProof/>
          <w:sz w:val="20"/>
          <w:szCs w:val="20"/>
          <w:lang w:val="en-US" w:eastAsia="it-IT"/>
        </w:rPr>
      </w:pPr>
      <w:r w:rsidRPr="00AC3653">
        <w:rPr>
          <w:b/>
          <w:noProof/>
          <w:sz w:val="20"/>
          <w:szCs w:val="20"/>
          <w:lang w:val="en-US" w:eastAsia="it-IT"/>
        </w:rPr>
        <w:t>Criteria</w:t>
      </w:r>
      <w:r>
        <w:rPr>
          <w:b/>
          <w:noProof/>
          <w:sz w:val="20"/>
          <w:szCs w:val="20"/>
          <w:lang w:val="en-US" w:eastAsia="it-IT"/>
        </w:rPr>
        <w:t xml:space="preserve"> Used</w:t>
      </w:r>
      <w:r w:rsidRPr="00AC3653">
        <w:rPr>
          <w:b/>
          <w:noProof/>
          <w:sz w:val="20"/>
          <w:szCs w:val="20"/>
          <w:lang w:val="en-US" w:eastAsia="it-IT"/>
        </w:rPr>
        <w:t>:</w:t>
      </w:r>
    </w:p>
    <w:p w:rsidR="00C941F7" w:rsidRDefault="00C941F7" w:rsidP="00C941F7">
      <w:pPr>
        <w:rPr>
          <w:noProof/>
          <w:sz w:val="20"/>
          <w:szCs w:val="20"/>
          <w:lang w:val="en-US" w:eastAsia="it-IT"/>
        </w:rPr>
      </w:pPr>
      <w:r w:rsidRPr="00AC3653">
        <w:rPr>
          <w:noProof/>
          <w:sz w:val="20"/>
          <w:szCs w:val="20"/>
          <w:lang w:val="en-US" w:eastAsia="it-IT"/>
        </w:rPr>
        <w:t>1. Were the selection criteria clearly defined?</w:t>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p>
    <w:p w:rsidR="00C941F7" w:rsidRDefault="00C941F7" w:rsidP="00C941F7">
      <w:pPr>
        <w:rPr>
          <w:noProof/>
          <w:sz w:val="20"/>
          <w:szCs w:val="20"/>
          <w:lang w:val="en-US" w:eastAsia="it-IT"/>
        </w:rPr>
      </w:pPr>
      <w:r w:rsidRPr="00AC3653">
        <w:rPr>
          <w:noProof/>
          <w:sz w:val="20"/>
          <w:szCs w:val="20"/>
          <w:lang w:val="en-US" w:eastAsia="it-IT"/>
        </w:rPr>
        <w:t>2. Similar point in the course of their disease?</w:t>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p>
    <w:p w:rsidR="00C941F7" w:rsidRDefault="00C941F7" w:rsidP="00C941F7">
      <w:pPr>
        <w:rPr>
          <w:noProof/>
          <w:sz w:val="20"/>
          <w:szCs w:val="20"/>
          <w:lang w:val="en-US" w:eastAsia="it-IT"/>
        </w:rPr>
      </w:pPr>
      <w:r w:rsidRPr="00AC3653">
        <w:rPr>
          <w:noProof/>
          <w:sz w:val="20"/>
          <w:szCs w:val="20"/>
          <w:lang w:val="en-US" w:eastAsia="it-IT"/>
        </w:rPr>
        <w:t>3. Was the study population representative of the population of interest?</w:t>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p>
    <w:p w:rsidR="00C941F7" w:rsidRDefault="00C941F7" w:rsidP="00C941F7">
      <w:pPr>
        <w:rPr>
          <w:noProof/>
          <w:sz w:val="20"/>
          <w:szCs w:val="20"/>
          <w:lang w:val="en-US" w:eastAsia="it-IT"/>
        </w:rPr>
      </w:pPr>
      <w:r w:rsidRPr="00AC3653">
        <w:rPr>
          <w:noProof/>
          <w:sz w:val="20"/>
          <w:szCs w:val="20"/>
          <w:lang w:val="en-US" w:eastAsia="it-IT"/>
        </w:rPr>
        <w:lastRenderedPageBreak/>
        <w:t>4. Was the follow-up period adequate?</w:t>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p>
    <w:p w:rsidR="00C941F7" w:rsidRDefault="00C941F7" w:rsidP="00C941F7">
      <w:pPr>
        <w:rPr>
          <w:noProof/>
          <w:sz w:val="20"/>
          <w:szCs w:val="20"/>
          <w:lang w:val="en-US" w:eastAsia="it-IT"/>
        </w:rPr>
      </w:pPr>
      <w:r w:rsidRPr="00AC3653">
        <w:rPr>
          <w:noProof/>
          <w:sz w:val="20"/>
          <w:szCs w:val="20"/>
          <w:lang w:val="en-US" w:eastAsia="it-IT"/>
        </w:rPr>
        <w:t>5. Was completeness of follow-up described?</w:t>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p>
    <w:p w:rsidR="00C941F7" w:rsidRDefault="00C941F7" w:rsidP="00C941F7">
      <w:pPr>
        <w:rPr>
          <w:noProof/>
          <w:sz w:val="20"/>
          <w:szCs w:val="20"/>
          <w:lang w:val="en-US" w:eastAsia="it-IT"/>
        </w:rPr>
      </w:pPr>
      <w:r w:rsidRPr="00AC3653">
        <w:rPr>
          <w:noProof/>
          <w:sz w:val="20"/>
          <w:szCs w:val="20"/>
          <w:lang w:val="en-US" w:eastAsia="it-IT"/>
        </w:rPr>
        <w:t>6. Was completeness of follow-up adequate?</w:t>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p>
    <w:p w:rsidR="00C941F7" w:rsidRDefault="00C941F7" w:rsidP="00C941F7">
      <w:pPr>
        <w:rPr>
          <w:noProof/>
          <w:sz w:val="20"/>
          <w:szCs w:val="20"/>
          <w:lang w:val="en-US" w:eastAsia="it-IT"/>
        </w:rPr>
      </w:pPr>
      <w:r w:rsidRPr="00AC3653">
        <w:rPr>
          <w:noProof/>
          <w:sz w:val="20"/>
          <w:szCs w:val="20"/>
          <w:lang w:val="en-US" w:eastAsia="it-IT"/>
        </w:rPr>
        <w:t>7. Were prognostic factors clearly defined?</w:t>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p>
    <w:p w:rsidR="00C941F7" w:rsidRDefault="00C941F7" w:rsidP="00C941F7">
      <w:pPr>
        <w:rPr>
          <w:noProof/>
          <w:sz w:val="20"/>
          <w:szCs w:val="20"/>
          <w:lang w:val="en-US" w:eastAsia="it-IT"/>
        </w:rPr>
      </w:pPr>
      <w:r w:rsidRPr="00AC3653">
        <w:rPr>
          <w:noProof/>
          <w:sz w:val="20"/>
          <w:szCs w:val="20"/>
          <w:lang w:val="en-US" w:eastAsia="it-IT"/>
        </w:rPr>
        <w:t>8. Were prognostic factors measured appropriately?</w:t>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p>
    <w:p w:rsidR="00C941F7" w:rsidRDefault="00C941F7" w:rsidP="00C941F7">
      <w:pPr>
        <w:rPr>
          <w:noProof/>
          <w:sz w:val="20"/>
          <w:szCs w:val="20"/>
          <w:lang w:val="en-US" w:eastAsia="it-IT"/>
        </w:rPr>
      </w:pPr>
      <w:r w:rsidRPr="00AC3653">
        <w:rPr>
          <w:noProof/>
          <w:sz w:val="20"/>
          <w:szCs w:val="20"/>
          <w:lang w:val="en-US" w:eastAsia="it-IT"/>
        </w:rPr>
        <w:t>9. Were prognostic data available for an adequate proportion of the included participants?</w:t>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p>
    <w:p w:rsidR="00C941F7" w:rsidRDefault="00C941F7" w:rsidP="00C941F7">
      <w:pPr>
        <w:rPr>
          <w:noProof/>
          <w:sz w:val="20"/>
          <w:szCs w:val="20"/>
          <w:lang w:val="en-US" w:eastAsia="it-IT"/>
        </w:rPr>
      </w:pPr>
      <w:r w:rsidRPr="00AC3653">
        <w:rPr>
          <w:noProof/>
          <w:sz w:val="20"/>
          <w:szCs w:val="20"/>
          <w:lang w:val="en-US" w:eastAsia="it-IT"/>
        </w:rPr>
        <w:t>10. Was the outcome of interest clearly defined?</w:t>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p>
    <w:p w:rsidR="00C941F7" w:rsidRDefault="00C941F7" w:rsidP="00C941F7">
      <w:pPr>
        <w:rPr>
          <w:noProof/>
          <w:sz w:val="20"/>
          <w:szCs w:val="20"/>
          <w:lang w:val="en-US" w:eastAsia="it-IT"/>
        </w:rPr>
      </w:pPr>
      <w:r w:rsidRPr="00AC3653">
        <w:rPr>
          <w:noProof/>
          <w:sz w:val="20"/>
          <w:szCs w:val="20"/>
          <w:lang w:val="en-US" w:eastAsia="it-IT"/>
        </w:rPr>
        <w:t>11. Was the outcome determined appropriately?</w:t>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p>
    <w:p w:rsidR="00C941F7" w:rsidRDefault="00C941F7" w:rsidP="00C941F7">
      <w:pPr>
        <w:rPr>
          <w:noProof/>
          <w:sz w:val="20"/>
          <w:szCs w:val="20"/>
          <w:lang w:val="en-US" w:eastAsia="it-IT"/>
        </w:rPr>
      </w:pPr>
      <w:r w:rsidRPr="00AC3653">
        <w:rPr>
          <w:noProof/>
          <w:sz w:val="20"/>
          <w:szCs w:val="20"/>
          <w:lang w:val="en-US" w:eastAsia="it-IT"/>
        </w:rPr>
        <w:t>12. Were outcomes determined blind to prognostic information?</w:t>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p>
    <w:p w:rsidR="00C941F7" w:rsidRDefault="00C941F7" w:rsidP="00C941F7">
      <w:pPr>
        <w:rPr>
          <w:noProof/>
          <w:sz w:val="20"/>
          <w:szCs w:val="20"/>
          <w:lang w:val="en-US" w:eastAsia="it-IT"/>
        </w:rPr>
      </w:pPr>
      <w:r w:rsidRPr="00AC3653">
        <w:rPr>
          <w:noProof/>
          <w:sz w:val="20"/>
          <w:szCs w:val="20"/>
          <w:lang w:val="en-US" w:eastAsia="it-IT"/>
        </w:rPr>
        <w:t>13. Were important confounding factors adequately accounted for?</w:t>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p>
    <w:p w:rsidR="00C941F7" w:rsidRDefault="00C941F7" w:rsidP="00C941F7">
      <w:pPr>
        <w:rPr>
          <w:noProof/>
          <w:sz w:val="20"/>
          <w:szCs w:val="20"/>
          <w:lang w:val="en-US" w:eastAsia="it-IT"/>
        </w:rPr>
      </w:pPr>
      <w:r w:rsidRPr="00AC3653">
        <w:rPr>
          <w:noProof/>
          <w:sz w:val="20"/>
          <w:szCs w:val="20"/>
          <w:lang w:val="en-US" w:eastAsia="it-IT"/>
        </w:rPr>
        <w:t>14. Were any treatments given to participants during the follow-up period standardised, or randomised?</w:t>
      </w:r>
      <w:r w:rsidRPr="00AC3653">
        <w:rPr>
          <w:noProof/>
          <w:sz w:val="20"/>
          <w:szCs w:val="20"/>
          <w:lang w:val="en-US" w:eastAsia="it-IT"/>
        </w:rPr>
        <w:tab/>
      </w:r>
      <w:r w:rsidRPr="00AC3653">
        <w:rPr>
          <w:noProof/>
          <w:sz w:val="20"/>
          <w:szCs w:val="20"/>
          <w:lang w:val="en-US" w:eastAsia="it-IT"/>
        </w:rPr>
        <w:tab/>
      </w:r>
    </w:p>
    <w:p w:rsidR="00C941F7" w:rsidRDefault="00C941F7" w:rsidP="00C941F7">
      <w:pPr>
        <w:rPr>
          <w:noProof/>
          <w:sz w:val="20"/>
          <w:szCs w:val="20"/>
          <w:lang w:val="en-US" w:eastAsia="it-IT"/>
        </w:rPr>
      </w:pPr>
      <w:r w:rsidRPr="00AC3653">
        <w:rPr>
          <w:noProof/>
          <w:sz w:val="20"/>
          <w:szCs w:val="20"/>
          <w:lang w:val="en-US" w:eastAsia="it-IT"/>
        </w:rPr>
        <w:t>15. Were the analysis methods adequate?</w:t>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p>
    <w:p w:rsidR="00C941F7" w:rsidRDefault="00C941F7" w:rsidP="00C941F7">
      <w:pPr>
        <w:rPr>
          <w:noProof/>
          <w:sz w:val="20"/>
          <w:szCs w:val="20"/>
          <w:lang w:val="en-US" w:eastAsia="it-IT"/>
        </w:rPr>
      </w:pPr>
      <w:r w:rsidRPr="00AC3653">
        <w:rPr>
          <w:noProof/>
          <w:sz w:val="20"/>
          <w:szCs w:val="20"/>
          <w:lang w:val="en-US" w:eastAsia="it-IT"/>
        </w:rPr>
        <w:t>16. Was the reporting independent of results?</w:t>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p>
    <w:p w:rsidR="00C941F7" w:rsidRDefault="00C941F7" w:rsidP="00C941F7">
      <w:pPr>
        <w:rPr>
          <w:noProof/>
          <w:sz w:val="20"/>
          <w:szCs w:val="20"/>
          <w:lang w:val="en-US" w:eastAsia="it-IT"/>
        </w:rPr>
      </w:pPr>
      <w:r w:rsidRPr="00AC3653">
        <w:rPr>
          <w:noProof/>
          <w:sz w:val="20"/>
          <w:szCs w:val="20"/>
          <w:lang w:val="en-US" w:eastAsia="it-IT"/>
        </w:rPr>
        <w:t>17. Study free of other aspects that have potential risk of bias?</w:t>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r w:rsidRPr="00AC3653">
        <w:rPr>
          <w:noProof/>
          <w:sz w:val="20"/>
          <w:szCs w:val="20"/>
          <w:lang w:val="en-US" w:eastAsia="it-IT"/>
        </w:rPr>
        <w:tab/>
      </w:r>
    </w:p>
    <w:p w:rsidR="00C941F7" w:rsidRPr="00AC3653" w:rsidRDefault="00C941F7" w:rsidP="00C941F7">
      <w:pPr>
        <w:rPr>
          <w:b/>
          <w:noProof/>
          <w:sz w:val="20"/>
          <w:szCs w:val="20"/>
          <w:lang w:val="en-US" w:eastAsia="it-IT"/>
        </w:rPr>
      </w:pPr>
    </w:p>
    <w:p w:rsidR="00C941F7" w:rsidRPr="00AC3653" w:rsidRDefault="00C941F7" w:rsidP="00C941F7">
      <w:pPr>
        <w:rPr>
          <w:b/>
          <w:noProof/>
          <w:sz w:val="20"/>
          <w:szCs w:val="20"/>
          <w:lang w:val="en-US" w:eastAsia="it-IT"/>
        </w:rPr>
      </w:pPr>
      <w:r w:rsidRPr="00AC3653">
        <w:rPr>
          <w:b/>
          <w:noProof/>
          <w:sz w:val="20"/>
          <w:szCs w:val="20"/>
          <w:lang w:val="en-US" w:eastAsia="it-IT"/>
        </w:rPr>
        <w:t>Ratings:</w:t>
      </w:r>
    </w:p>
    <w:p w:rsidR="00C941F7" w:rsidRPr="00AC3653" w:rsidRDefault="00C941F7" w:rsidP="00C941F7">
      <w:pPr>
        <w:rPr>
          <w:noProof/>
          <w:sz w:val="20"/>
          <w:szCs w:val="20"/>
          <w:lang w:val="en-US" w:eastAsia="it-IT"/>
        </w:rPr>
      </w:pPr>
      <w:r w:rsidRPr="00AC3653">
        <w:rPr>
          <w:noProof/>
          <w:sz w:val="20"/>
          <w:szCs w:val="20"/>
          <w:lang w:val="en-US" w:eastAsia="it-IT"/>
        </w:rPr>
        <w:t>Yes</w:t>
      </w:r>
      <w:r>
        <w:rPr>
          <w:noProof/>
          <w:sz w:val="20"/>
          <w:szCs w:val="20"/>
          <w:lang w:val="en-US" w:eastAsia="it-IT"/>
        </w:rPr>
        <w:t xml:space="preserve"> (Y)</w:t>
      </w:r>
    </w:p>
    <w:p w:rsidR="00C941F7" w:rsidRPr="00AC3653" w:rsidRDefault="00C941F7" w:rsidP="00C941F7">
      <w:pPr>
        <w:rPr>
          <w:noProof/>
          <w:sz w:val="20"/>
          <w:szCs w:val="20"/>
          <w:lang w:val="en-US" w:eastAsia="it-IT"/>
        </w:rPr>
      </w:pPr>
      <w:r w:rsidRPr="00AC3653">
        <w:rPr>
          <w:noProof/>
          <w:sz w:val="20"/>
          <w:szCs w:val="20"/>
          <w:lang w:val="en-US" w:eastAsia="it-IT"/>
        </w:rPr>
        <w:t>No</w:t>
      </w:r>
      <w:r>
        <w:rPr>
          <w:noProof/>
          <w:sz w:val="20"/>
          <w:szCs w:val="20"/>
          <w:lang w:val="en-US" w:eastAsia="it-IT"/>
        </w:rPr>
        <w:t xml:space="preserve"> (</w:t>
      </w:r>
      <w:r w:rsidRPr="00AC3653">
        <w:rPr>
          <w:noProof/>
          <w:sz w:val="20"/>
          <w:szCs w:val="20"/>
          <w:lang w:val="en-US" w:eastAsia="it-IT"/>
        </w:rPr>
        <w:t>N</w:t>
      </w:r>
      <w:r>
        <w:rPr>
          <w:noProof/>
          <w:sz w:val="20"/>
          <w:szCs w:val="20"/>
          <w:lang w:val="en-US" w:eastAsia="it-IT"/>
        </w:rPr>
        <w:t>)</w:t>
      </w:r>
    </w:p>
    <w:p w:rsidR="00C941F7" w:rsidRDefault="00C941F7" w:rsidP="00C941F7">
      <w:pPr>
        <w:rPr>
          <w:noProof/>
          <w:sz w:val="20"/>
          <w:szCs w:val="20"/>
          <w:lang w:val="en-US" w:eastAsia="it-IT"/>
        </w:rPr>
      </w:pPr>
      <w:r w:rsidRPr="00AC3653">
        <w:rPr>
          <w:noProof/>
          <w:sz w:val="20"/>
          <w:szCs w:val="20"/>
          <w:lang w:val="en-US" w:eastAsia="it-IT"/>
        </w:rPr>
        <w:t>Unclear</w:t>
      </w:r>
      <w:r w:rsidRPr="00AC3653">
        <w:rPr>
          <w:noProof/>
          <w:sz w:val="20"/>
          <w:szCs w:val="20"/>
          <w:lang w:val="en-US" w:eastAsia="it-IT"/>
        </w:rPr>
        <w:tab/>
      </w:r>
      <w:r>
        <w:rPr>
          <w:noProof/>
          <w:sz w:val="20"/>
          <w:szCs w:val="20"/>
          <w:lang w:val="en-US" w:eastAsia="it-IT"/>
        </w:rPr>
        <w:t>(</w:t>
      </w:r>
      <w:r w:rsidRPr="00AC3653">
        <w:rPr>
          <w:noProof/>
          <w:sz w:val="20"/>
          <w:szCs w:val="20"/>
          <w:lang w:val="en-US" w:eastAsia="it-IT"/>
        </w:rPr>
        <w:t>U</w:t>
      </w:r>
      <w:r>
        <w:rPr>
          <w:noProof/>
          <w:sz w:val="20"/>
          <w:szCs w:val="20"/>
          <w:lang w:val="en-US" w:eastAsia="it-IT"/>
        </w:rPr>
        <w:t>)</w:t>
      </w:r>
    </w:p>
    <w:p w:rsidR="00C941F7" w:rsidRDefault="00C941F7" w:rsidP="00C941F7">
      <w:pPr>
        <w:rPr>
          <w:noProof/>
          <w:sz w:val="20"/>
          <w:szCs w:val="20"/>
          <w:lang w:val="en-US" w:eastAsia="it-IT"/>
        </w:rPr>
      </w:pPr>
    </w:p>
    <w:p w:rsidR="00C941F7" w:rsidRDefault="00C941F7" w:rsidP="00C941F7">
      <w:pPr>
        <w:rPr>
          <w:noProof/>
          <w:sz w:val="20"/>
          <w:szCs w:val="20"/>
          <w:lang w:val="en-US" w:eastAsia="it-IT"/>
        </w:rPr>
      </w:pPr>
    </w:p>
    <w:p w:rsidR="00C941F7" w:rsidRDefault="00C941F7" w:rsidP="00C941F7">
      <w:pPr>
        <w:rPr>
          <w:noProof/>
          <w:sz w:val="20"/>
          <w:szCs w:val="20"/>
          <w:lang w:val="en-US" w:eastAsia="it-IT"/>
        </w:rPr>
      </w:pPr>
    </w:p>
    <w:p w:rsidR="00C941F7" w:rsidRDefault="00C941F7" w:rsidP="00C941F7">
      <w:pPr>
        <w:rPr>
          <w:noProof/>
          <w:sz w:val="20"/>
          <w:szCs w:val="20"/>
          <w:lang w:val="en-US" w:eastAsia="it-IT"/>
        </w:rPr>
      </w:pPr>
    </w:p>
    <w:p w:rsidR="00C941F7" w:rsidRDefault="00C941F7" w:rsidP="00C941F7">
      <w:pPr>
        <w:rPr>
          <w:noProof/>
          <w:sz w:val="20"/>
          <w:szCs w:val="20"/>
          <w:lang w:val="en-US" w:eastAsia="it-IT"/>
        </w:rPr>
      </w:pPr>
    </w:p>
    <w:p w:rsidR="00C941F7" w:rsidRDefault="00C941F7" w:rsidP="00C941F7">
      <w:pPr>
        <w:rPr>
          <w:noProof/>
          <w:sz w:val="20"/>
          <w:szCs w:val="20"/>
          <w:lang w:val="en-US" w:eastAsia="it-IT"/>
        </w:rPr>
      </w:pPr>
    </w:p>
    <w:p w:rsidR="00C941F7" w:rsidRDefault="00C941F7" w:rsidP="00C941F7">
      <w:pPr>
        <w:widowControl w:val="0"/>
        <w:autoSpaceDE w:val="0"/>
        <w:autoSpaceDN w:val="0"/>
        <w:adjustRightInd w:val="0"/>
        <w:spacing w:after="120" w:line="240" w:lineRule="auto"/>
        <w:ind w:left="640" w:hanging="640"/>
        <w:rPr>
          <w:b/>
          <w:sz w:val="20"/>
          <w:szCs w:val="20"/>
          <w:lang w:val="en-US"/>
        </w:rPr>
      </w:pPr>
      <w:r w:rsidRPr="00DA38D7">
        <w:rPr>
          <w:b/>
          <w:sz w:val="20"/>
          <w:szCs w:val="20"/>
          <w:lang w:val="en-US"/>
        </w:rPr>
        <w:lastRenderedPageBreak/>
        <w:t>REFERENCES</w:t>
      </w:r>
    </w:p>
    <w:p w:rsidR="00C941F7" w:rsidRPr="00564C52" w:rsidRDefault="00C941F7" w:rsidP="00C941F7">
      <w:pPr>
        <w:widowControl w:val="0"/>
        <w:autoSpaceDE w:val="0"/>
        <w:autoSpaceDN w:val="0"/>
        <w:adjustRightInd w:val="0"/>
        <w:spacing w:after="120"/>
        <w:ind w:left="640" w:hanging="640"/>
        <w:rPr>
          <w:noProof/>
          <w:sz w:val="20"/>
          <w:szCs w:val="24"/>
          <w:lang w:val="en-US"/>
        </w:rPr>
      </w:pPr>
      <w:r w:rsidRPr="00564C52">
        <w:rPr>
          <w:b/>
          <w:sz w:val="20"/>
          <w:szCs w:val="20"/>
          <w:lang w:val="en-US"/>
        </w:rPr>
        <w:fldChar w:fldCharType="begin" w:fldLock="1"/>
      </w:r>
      <w:r w:rsidRPr="00564C52">
        <w:rPr>
          <w:b/>
          <w:sz w:val="20"/>
          <w:szCs w:val="20"/>
          <w:lang w:val="en-US"/>
        </w:rPr>
        <w:instrText xml:space="preserve">ADDIN Mendeley Bibliography CSL_BIBLIOGRAPHY </w:instrText>
      </w:r>
      <w:r w:rsidRPr="00564C52">
        <w:rPr>
          <w:b/>
          <w:sz w:val="20"/>
          <w:szCs w:val="20"/>
          <w:lang w:val="en-US"/>
        </w:rPr>
        <w:fldChar w:fldCharType="separate"/>
      </w:r>
      <w:r w:rsidRPr="001A2F73">
        <w:rPr>
          <w:noProof/>
          <w:sz w:val="20"/>
          <w:szCs w:val="24"/>
          <w:lang w:val="en-US"/>
        </w:rPr>
        <w:t xml:space="preserve">1. </w:t>
      </w:r>
      <w:r w:rsidRPr="001A2F73">
        <w:rPr>
          <w:noProof/>
          <w:sz w:val="20"/>
          <w:szCs w:val="24"/>
          <w:lang w:val="en-US"/>
        </w:rPr>
        <w:tab/>
      </w:r>
      <w:r w:rsidRPr="00564C52">
        <w:rPr>
          <w:noProof/>
          <w:sz w:val="20"/>
          <w:szCs w:val="24"/>
          <w:lang w:val="en-US"/>
        </w:rPr>
        <w:t>Moons KG, Hooft L, Williams K, et al. Implementing systematic reviews of prognosis studies in Cochrane. Cochrane Database Syst Rev. 2018 Oct 11;10:ED000129. doi: 10.1002/14651858.ED000129.</w:t>
      </w:r>
    </w:p>
    <w:p w:rsidR="00C941F7" w:rsidRPr="001A2F73" w:rsidRDefault="00C941F7" w:rsidP="00C941F7">
      <w:pPr>
        <w:widowControl w:val="0"/>
        <w:autoSpaceDE w:val="0"/>
        <w:autoSpaceDN w:val="0"/>
        <w:adjustRightInd w:val="0"/>
        <w:spacing w:after="120" w:line="240" w:lineRule="auto"/>
        <w:ind w:left="640" w:hanging="640"/>
        <w:rPr>
          <w:noProof/>
          <w:sz w:val="20"/>
          <w:szCs w:val="24"/>
          <w:lang w:val="en-US"/>
        </w:rPr>
      </w:pPr>
      <w:r w:rsidRPr="001A2F73">
        <w:rPr>
          <w:noProof/>
          <w:sz w:val="20"/>
          <w:szCs w:val="24"/>
          <w:lang w:val="en-US"/>
        </w:rPr>
        <w:t xml:space="preserve">2. </w:t>
      </w:r>
      <w:r w:rsidRPr="001A2F73">
        <w:rPr>
          <w:noProof/>
          <w:sz w:val="20"/>
          <w:szCs w:val="24"/>
          <w:lang w:val="en-US"/>
        </w:rPr>
        <w:tab/>
      </w:r>
      <w:r w:rsidRPr="00564C52">
        <w:rPr>
          <w:noProof/>
          <w:sz w:val="20"/>
          <w:szCs w:val="24"/>
          <w:lang w:val="en-US"/>
        </w:rPr>
        <w:t>Kim J, Smith  a., Hemphill JC, et al. Contrast extravasation on CT predicts mortality in primary intracerebral hemorrhage. Am. J. Neuroradiol. 2008;29(3):520–525.</w:t>
      </w:r>
    </w:p>
    <w:p w:rsidR="00C941F7" w:rsidRPr="001A2F73" w:rsidRDefault="00C941F7" w:rsidP="00C941F7">
      <w:pPr>
        <w:widowControl w:val="0"/>
        <w:autoSpaceDE w:val="0"/>
        <w:autoSpaceDN w:val="0"/>
        <w:adjustRightInd w:val="0"/>
        <w:spacing w:after="120" w:line="240" w:lineRule="auto"/>
        <w:ind w:left="640" w:hanging="640"/>
        <w:rPr>
          <w:noProof/>
          <w:sz w:val="20"/>
          <w:szCs w:val="24"/>
          <w:lang w:val="en-US"/>
        </w:rPr>
      </w:pPr>
      <w:r w:rsidRPr="001A2F73">
        <w:rPr>
          <w:noProof/>
          <w:sz w:val="20"/>
          <w:szCs w:val="24"/>
          <w:lang w:val="en-US"/>
        </w:rPr>
        <w:t xml:space="preserve">3. </w:t>
      </w:r>
      <w:r w:rsidRPr="001A2F73">
        <w:rPr>
          <w:noProof/>
          <w:sz w:val="20"/>
          <w:szCs w:val="24"/>
          <w:lang w:val="en-US"/>
        </w:rPr>
        <w:tab/>
        <w:t>Barras CD, Tress BM, Christensen S, et al. Density and shape as CT predictors of intracerebral hemorrhage growth. Stroke 2009;40(4):1325–1331.</w:t>
      </w:r>
    </w:p>
    <w:p w:rsidR="00C941F7" w:rsidRPr="00564C52" w:rsidRDefault="00C941F7" w:rsidP="00C941F7">
      <w:pPr>
        <w:widowControl w:val="0"/>
        <w:autoSpaceDE w:val="0"/>
        <w:autoSpaceDN w:val="0"/>
        <w:adjustRightInd w:val="0"/>
        <w:spacing w:after="120" w:line="240" w:lineRule="auto"/>
        <w:ind w:left="640" w:hanging="640"/>
        <w:rPr>
          <w:noProof/>
          <w:sz w:val="20"/>
          <w:szCs w:val="24"/>
        </w:rPr>
      </w:pPr>
      <w:r w:rsidRPr="001A2F73">
        <w:rPr>
          <w:noProof/>
          <w:sz w:val="20"/>
          <w:szCs w:val="24"/>
          <w:lang w:val="en-US"/>
        </w:rPr>
        <w:t xml:space="preserve">4. </w:t>
      </w:r>
      <w:r w:rsidRPr="001A2F73">
        <w:rPr>
          <w:noProof/>
          <w:sz w:val="20"/>
          <w:szCs w:val="24"/>
          <w:lang w:val="en-US"/>
        </w:rPr>
        <w:tab/>
        <w:t xml:space="preserve">Selariu E, Zia E, Brizzi M, Abul-Kasim K. Swirl sign in intracerebral haemorrhage: definition, prevalence, reliability and prognostic value. </w:t>
      </w:r>
      <w:r w:rsidRPr="00564C52">
        <w:rPr>
          <w:noProof/>
          <w:sz w:val="20"/>
          <w:szCs w:val="24"/>
        </w:rPr>
        <w:t>BMC Neurol. 2012;12(1):109.</w:t>
      </w:r>
    </w:p>
    <w:p w:rsidR="00C941F7" w:rsidRPr="001A2F73" w:rsidRDefault="00C941F7" w:rsidP="00C941F7">
      <w:pPr>
        <w:widowControl w:val="0"/>
        <w:autoSpaceDE w:val="0"/>
        <w:autoSpaceDN w:val="0"/>
        <w:adjustRightInd w:val="0"/>
        <w:spacing w:after="120" w:line="240" w:lineRule="auto"/>
        <w:ind w:left="640" w:hanging="640"/>
        <w:rPr>
          <w:noProof/>
          <w:sz w:val="20"/>
          <w:szCs w:val="24"/>
          <w:lang w:val="en-US"/>
        </w:rPr>
      </w:pPr>
      <w:r w:rsidRPr="00564C52">
        <w:rPr>
          <w:noProof/>
          <w:sz w:val="20"/>
          <w:szCs w:val="24"/>
        </w:rPr>
        <w:t xml:space="preserve">5. </w:t>
      </w:r>
      <w:r w:rsidRPr="00564C52">
        <w:rPr>
          <w:noProof/>
          <w:sz w:val="20"/>
          <w:szCs w:val="24"/>
        </w:rPr>
        <w:tab/>
        <w:t xml:space="preserve">Galbois A, Boëlle PY, Hainque E, et al. </w:t>
      </w:r>
      <w:r w:rsidRPr="001A2F73">
        <w:rPr>
          <w:noProof/>
          <w:sz w:val="20"/>
          <w:szCs w:val="24"/>
          <w:lang w:val="en-US"/>
        </w:rPr>
        <w:t>Prediction of evolution toward brain death upon admission to ICU in comatose patients with spontaneous intracerebral hemorrhage using simple signs. Transpl. Int. 2013;26(5):517–526.</w:t>
      </w:r>
    </w:p>
    <w:p w:rsidR="00C941F7" w:rsidRPr="001A2F73" w:rsidRDefault="00C941F7" w:rsidP="00C941F7">
      <w:pPr>
        <w:widowControl w:val="0"/>
        <w:autoSpaceDE w:val="0"/>
        <w:autoSpaceDN w:val="0"/>
        <w:adjustRightInd w:val="0"/>
        <w:spacing w:after="120" w:line="240" w:lineRule="auto"/>
        <w:ind w:left="640" w:hanging="640"/>
        <w:rPr>
          <w:noProof/>
          <w:sz w:val="20"/>
          <w:szCs w:val="24"/>
          <w:lang w:val="en-US"/>
        </w:rPr>
      </w:pPr>
      <w:r w:rsidRPr="001A2F73">
        <w:rPr>
          <w:noProof/>
          <w:sz w:val="20"/>
          <w:szCs w:val="24"/>
          <w:lang w:val="en-US"/>
        </w:rPr>
        <w:t xml:space="preserve">6. </w:t>
      </w:r>
      <w:r w:rsidRPr="001A2F73">
        <w:rPr>
          <w:noProof/>
          <w:sz w:val="20"/>
          <w:szCs w:val="24"/>
          <w:lang w:val="en-US"/>
        </w:rPr>
        <w:tab/>
        <w:t xml:space="preserve">Takeda R, Ogura T, Ooigawa H, et al. </w:t>
      </w:r>
      <w:r w:rsidRPr="00564C52">
        <w:rPr>
          <w:noProof/>
          <w:sz w:val="20"/>
          <w:szCs w:val="24"/>
          <w:lang w:val="en-US"/>
        </w:rPr>
        <w:t>A practical prediction model for early hematoma expansion in spontaneous deep ganglionic intracerebral hemorrhage. Clin. Neurol. Neurosurg. 2013;115(7):1028–1031.</w:t>
      </w:r>
    </w:p>
    <w:p w:rsidR="00C941F7" w:rsidRPr="001A2F73" w:rsidRDefault="00C941F7" w:rsidP="00C941F7">
      <w:pPr>
        <w:widowControl w:val="0"/>
        <w:autoSpaceDE w:val="0"/>
        <w:autoSpaceDN w:val="0"/>
        <w:adjustRightInd w:val="0"/>
        <w:spacing w:after="120" w:line="240" w:lineRule="auto"/>
        <w:ind w:left="640" w:hanging="640"/>
        <w:rPr>
          <w:noProof/>
          <w:sz w:val="20"/>
          <w:szCs w:val="24"/>
          <w:lang w:val="en-US"/>
        </w:rPr>
      </w:pPr>
      <w:r w:rsidRPr="001A2F73">
        <w:rPr>
          <w:noProof/>
          <w:sz w:val="20"/>
          <w:szCs w:val="24"/>
          <w:lang w:val="en-US"/>
        </w:rPr>
        <w:t xml:space="preserve">7. </w:t>
      </w:r>
      <w:r w:rsidRPr="001A2F73">
        <w:rPr>
          <w:noProof/>
          <w:sz w:val="20"/>
          <w:szCs w:val="24"/>
          <w:lang w:val="en-US"/>
        </w:rPr>
        <w:tab/>
        <w:t>Gökçe E, Beyhan M, Acu B. Evaluation of Oral Anticoagulant-Associated Intracranial Parenchymal Hematomas Using CT Findings. Clin. Neuroradiol. 2015;25(2):151–159.</w:t>
      </w:r>
    </w:p>
    <w:p w:rsidR="00C941F7" w:rsidRDefault="00C941F7" w:rsidP="00C941F7">
      <w:pPr>
        <w:widowControl w:val="0"/>
        <w:autoSpaceDE w:val="0"/>
        <w:autoSpaceDN w:val="0"/>
        <w:adjustRightInd w:val="0"/>
        <w:spacing w:after="120"/>
        <w:ind w:left="640" w:hanging="640"/>
        <w:rPr>
          <w:noProof/>
          <w:sz w:val="20"/>
          <w:szCs w:val="24"/>
          <w:lang w:val="en-US"/>
        </w:rPr>
      </w:pPr>
      <w:r w:rsidRPr="001A2F73">
        <w:rPr>
          <w:noProof/>
          <w:sz w:val="20"/>
          <w:szCs w:val="24"/>
          <w:lang w:val="en-US"/>
        </w:rPr>
        <w:t xml:space="preserve">8. </w:t>
      </w:r>
      <w:r w:rsidRPr="001A2F73">
        <w:rPr>
          <w:noProof/>
          <w:sz w:val="20"/>
          <w:szCs w:val="24"/>
          <w:lang w:val="en-US"/>
        </w:rPr>
        <w:tab/>
        <w:t xml:space="preserve">Blacquiere D, Demchuk AM, Al-Hazzaa M, et al. </w:t>
      </w:r>
      <w:r w:rsidRPr="00564C52">
        <w:rPr>
          <w:noProof/>
          <w:sz w:val="20"/>
          <w:szCs w:val="24"/>
          <w:lang w:val="en-US"/>
        </w:rPr>
        <w:t>Intracerebral Hematoma Morphologic Appearance on Noncontrast Computed Tomography Predicts Significant Hematoma Expansion. Stroke. 2015;46(11):3111–6.</w:t>
      </w:r>
    </w:p>
    <w:p w:rsidR="00C941F7" w:rsidRPr="001A2F73" w:rsidRDefault="00C941F7" w:rsidP="00C941F7">
      <w:pPr>
        <w:widowControl w:val="0"/>
        <w:autoSpaceDE w:val="0"/>
        <w:autoSpaceDN w:val="0"/>
        <w:adjustRightInd w:val="0"/>
        <w:spacing w:after="120"/>
        <w:ind w:left="640" w:hanging="640"/>
        <w:rPr>
          <w:noProof/>
          <w:sz w:val="20"/>
          <w:szCs w:val="24"/>
          <w:lang w:val="en-US"/>
        </w:rPr>
      </w:pPr>
      <w:r w:rsidRPr="001A2F73">
        <w:rPr>
          <w:noProof/>
          <w:sz w:val="20"/>
          <w:szCs w:val="24"/>
          <w:lang w:val="en-US"/>
        </w:rPr>
        <w:t xml:space="preserve">9. </w:t>
      </w:r>
      <w:r w:rsidRPr="001A2F73">
        <w:rPr>
          <w:noProof/>
          <w:sz w:val="20"/>
          <w:szCs w:val="24"/>
          <w:lang w:val="en-US"/>
        </w:rPr>
        <w:tab/>
      </w:r>
      <w:r w:rsidRPr="00564C52">
        <w:rPr>
          <w:noProof/>
          <w:sz w:val="20"/>
          <w:szCs w:val="24"/>
          <w:lang w:val="en-US"/>
        </w:rPr>
        <w:t>Connor D, Huynh TJ, Demchuk AM, et al. Swirls and spots: relationship between qualitative and quantitative hematoma heterogeneity, hematoma expansion, and the spot sign. Neurovascular Imaging 2015;1(1):8.</w:t>
      </w:r>
    </w:p>
    <w:p w:rsidR="00C941F7" w:rsidRPr="001A2F73" w:rsidRDefault="00C941F7" w:rsidP="00C941F7">
      <w:pPr>
        <w:widowControl w:val="0"/>
        <w:autoSpaceDE w:val="0"/>
        <w:autoSpaceDN w:val="0"/>
        <w:adjustRightInd w:val="0"/>
        <w:spacing w:after="120" w:line="240" w:lineRule="auto"/>
        <w:ind w:left="640" w:hanging="640"/>
        <w:rPr>
          <w:noProof/>
          <w:sz w:val="20"/>
          <w:szCs w:val="24"/>
          <w:lang w:val="en-US"/>
        </w:rPr>
      </w:pPr>
      <w:r w:rsidRPr="001A2F73">
        <w:rPr>
          <w:noProof/>
          <w:sz w:val="20"/>
          <w:szCs w:val="24"/>
          <w:lang w:val="en-US"/>
        </w:rPr>
        <w:t xml:space="preserve">10. </w:t>
      </w:r>
      <w:r w:rsidRPr="001A2F73">
        <w:rPr>
          <w:noProof/>
          <w:sz w:val="20"/>
          <w:szCs w:val="24"/>
          <w:lang w:val="en-US"/>
        </w:rPr>
        <w:tab/>
        <w:t xml:space="preserve">Li Q, Zhang G, Huang Y-J, et al. </w:t>
      </w:r>
      <w:r w:rsidRPr="00564C52">
        <w:rPr>
          <w:noProof/>
          <w:sz w:val="20"/>
          <w:szCs w:val="24"/>
          <w:lang w:val="en-US"/>
        </w:rPr>
        <w:t>Blend Sign on Computed Tomography: Novel and Reliable Predictor for Early Hematoma Growth in Patients with Intracerebral Hemorrhage. Stroke. 2015;46(8):2119-23.</w:t>
      </w:r>
    </w:p>
    <w:p w:rsidR="00C941F7" w:rsidRPr="001A2F73" w:rsidRDefault="00C941F7" w:rsidP="00C941F7">
      <w:pPr>
        <w:widowControl w:val="0"/>
        <w:autoSpaceDE w:val="0"/>
        <w:autoSpaceDN w:val="0"/>
        <w:adjustRightInd w:val="0"/>
        <w:spacing w:after="120" w:line="240" w:lineRule="auto"/>
        <w:ind w:left="640" w:hanging="640"/>
        <w:rPr>
          <w:noProof/>
          <w:sz w:val="20"/>
          <w:szCs w:val="24"/>
          <w:lang w:val="en-US"/>
        </w:rPr>
      </w:pPr>
      <w:r w:rsidRPr="001A2F73">
        <w:rPr>
          <w:noProof/>
          <w:sz w:val="20"/>
          <w:szCs w:val="24"/>
          <w:lang w:val="en-US"/>
        </w:rPr>
        <w:t xml:space="preserve">11. </w:t>
      </w:r>
      <w:r w:rsidRPr="001A2F73">
        <w:rPr>
          <w:noProof/>
          <w:sz w:val="20"/>
          <w:szCs w:val="24"/>
          <w:lang w:val="en-US"/>
        </w:rPr>
        <w:tab/>
        <w:t xml:space="preserve">Yao X, Xu Y, Siwila-Sackman E, et al. </w:t>
      </w:r>
      <w:r w:rsidRPr="00564C52">
        <w:rPr>
          <w:noProof/>
          <w:sz w:val="20"/>
          <w:szCs w:val="24"/>
          <w:lang w:val="en-US"/>
        </w:rPr>
        <w:t>The HEP Score: A Nomogram-Derived Hematoma Expansion Prediction Scale. Neurocrit. Care. 2015;23(2):179–187.</w:t>
      </w:r>
    </w:p>
    <w:p w:rsidR="00C941F7" w:rsidRPr="00564C52" w:rsidRDefault="00C941F7" w:rsidP="00C941F7">
      <w:pPr>
        <w:widowControl w:val="0"/>
        <w:autoSpaceDE w:val="0"/>
        <w:autoSpaceDN w:val="0"/>
        <w:adjustRightInd w:val="0"/>
        <w:spacing w:after="120"/>
        <w:ind w:left="640" w:hanging="640"/>
        <w:rPr>
          <w:noProof/>
          <w:sz w:val="20"/>
          <w:szCs w:val="24"/>
          <w:lang w:val="en-US"/>
        </w:rPr>
      </w:pPr>
      <w:r w:rsidRPr="001A2F73">
        <w:rPr>
          <w:noProof/>
          <w:sz w:val="20"/>
          <w:szCs w:val="24"/>
          <w:lang w:val="en-US"/>
        </w:rPr>
        <w:t xml:space="preserve">12. </w:t>
      </w:r>
      <w:r w:rsidRPr="001A2F73">
        <w:rPr>
          <w:noProof/>
          <w:sz w:val="20"/>
          <w:szCs w:val="24"/>
          <w:lang w:val="en-US"/>
        </w:rPr>
        <w:tab/>
      </w:r>
      <w:r w:rsidRPr="00564C52">
        <w:rPr>
          <w:noProof/>
          <w:sz w:val="20"/>
          <w:szCs w:val="24"/>
          <w:lang w:val="en-US"/>
        </w:rPr>
        <w:t>Boulouis G, Morotti A, Bart Brouwers H, et al. Association between hypodensities detected by computed tomography and hematoma expansion in patients with intracerebral hemorrhage. JAMA Neurol. 2016;73(8):961-8.</w:t>
      </w:r>
    </w:p>
    <w:p w:rsidR="00C941F7" w:rsidRPr="001A2F73" w:rsidRDefault="00C941F7" w:rsidP="00C941F7">
      <w:pPr>
        <w:widowControl w:val="0"/>
        <w:autoSpaceDE w:val="0"/>
        <w:autoSpaceDN w:val="0"/>
        <w:adjustRightInd w:val="0"/>
        <w:spacing w:after="120" w:line="240" w:lineRule="auto"/>
        <w:ind w:left="640" w:hanging="640"/>
        <w:rPr>
          <w:noProof/>
          <w:sz w:val="20"/>
          <w:szCs w:val="24"/>
          <w:lang w:val="en-US"/>
        </w:rPr>
      </w:pPr>
      <w:r w:rsidRPr="001A2F73">
        <w:rPr>
          <w:noProof/>
          <w:sz w:val="20"/>
          <w:szCs w:val="24"/>
          <w:lang w:val="en-US"/>
        </w:rPr>
        <w:t xml:space="preserve">13. </w:t>
      </w:r>
      <w:r w:rsidRPr="001A2F73">
        <w:rPr>
          <w:noProof/>
          <w:sz w:val="20"/>
          <w:szCs w:val="24"/>
          <w:lang w:val="en-US"/>
        </w:rPr>
        <w:tab/>
      </w:r>
      <w:r w:rsidRPr="00564C52">
        <w:rPr>
          <w:noProof/>
          <w:sz w:val="20"/>
          <w:szCs w:val="24"/>
          <w:lang w:val="en-US"/>
        </w:rPr>
        <w:t>Boulouis G, Morotti A, Brouwers HB, et al. Noncontrast Computed Tomography Hypodensities Predict Poor Outcome in Intracerebral Hemorrhage Patients. Stroke. 2016;47(10):2511-6.</w:t>
      </w:r>
    </w:p>
    <w:p w:rsidR="00C941F7" w:rsidRPr="001A2F73" w:rsidRDefault="00C941F7" w:rsidP="00C941F7">
      <w:pPr>
        <w:widowControl w:val="0"/>
        <w:autoSpaceDE w:val="0"/>
        <w:autoSpaceDN w:val="0"/>
        <w:adjustRightInd w:val="0"/>
        <w:spacing w:after="120" w:line="240" w:lineRule="auto"/>
        <w:ind w:left="640" w:hanging="640"/>
        <w:rPr>
          <w:noProof/>
          <w:sz w:val="20"/>
          <w:szCs w:val="24"/>
          <w:lang w:val="en-US"/>
        </w:rPr>
      </w:pPr>
      <w:r w:rsidRPr="001A2F73">
        <w:rPr>
          <w:noProof/>
          <w:sz w:val="20"/>
          <w:szCs w:val="24"/>
          <w:lang w:val="en-US"/>
        </w:rPr>
        <w:t xml:space="preserve">14. </w:t>
      </w:r>
      <w:r w:rsidRPr="001A2F73">
        <w:rPr>
          <w:noProof/>
          <w:sz w:val="20"/>
          <w:szCs w:val="24"/>
          <w:lang w:val="en-US"/>
        </w:rPr>
        <w:tab/>
        <w:t>Delcourt C, Zhang S, Arima H, et al. Significance of Hematoma Shape and Density in Intracerebral Hemorrhage The Intensive Blood Pressure Reduction in Acute Intracerebral Hemorrhage Trial Study. Stroke 2016;47(5):1227–1232.</w:t>
      </w:r>
    </w:p>
    <w:p w:rsidR="00C941F7" w:rsidRPr="001A2F73" w:rsidRDefault="00C941F7" w:rsidP="00C941F7">
      <w:pPr>
        <w:widowControl w:val="0"/>
        <w:autoSpaceDE w:val="0"/>
        <w:autoSpaceDN w:val="0"/>
        <w:adjustRightInd w:val="0"/>
        <w:spacing w:after="120" w:line="240" w:lineRule="auto"/>
        <w:ind w:left="640" w:hanging="640"/>
        <w:rPr>
          <w:noProof/>
          <w:sz w:val="20"/>
          <w:szCs w:val="24"/>
          <w:lang w:val="en-US"/>
        </w:rPr>
      </w:pPr>
      <w:r w:rsidRPr="001A2F73">
        <w:rPr>
          <w:noProof/>
          <w:sz w:val="20"/>
          <w:szCs w:val="24"/>
          <w:lang w:val="en-US"/>
        </w:rPr>
        <w:t xml:space="preserve">15. </w:t>
      </w:r>
      <w:r w:rsidRPr="001A2F73">
        <w:rPr>
          <w:noProof/>
          <w:sz w:val="20"/>
          <w:szCs w:val="24"/>
          <w:lang w:val="en-US"/>
        </w:rPr>
        <w:tab/>
        <w:t>Li Q, Zhang G, Xiong X, et al. Black hole sign: Novel imaging marker that predicts hematoma growth in patients with intracerebral hemorrhage. Stroke 2016;47(7):1777–1781.</w:t>
      </w:r>
    </w:p>
    <w:p w:rsidR="00C941F7" w:rsidRPr="001A2F73" w:rsidRDefault="00C941F7" w:rsidP="00C941F7">
      <w:pPr>
        <w:widowControl w:val="0"/>
        <w:autoSpaceDE w:val="0"/>
        <w:autoSpaceDN w:val="0"/>
        <w:adjustRightInd w:val="0"/>
        <w:spacing w:after="120" w:line="240" w:lineRule="auto"/>
        <w:ind w:left="640" w:hanging="640"/>
        <w:rPr>
          <w:noProof/>
          <w:sz w:val="20"/>
          <w:szCs w:val="24"/>
          <w:lang w:val="en-US"/>
        </w:rPr>
      </w:pPr>
      <w:r w:rsidRPr="001A2F73">
        <w:rPr>
          <w:noProof/>
          <w:sz w:val="20"/>
          <w:szCs w:val="24"/>
          <w:lang w:val="en-US"/>
        </w:rPr>
        <w:t xml:space="preserve">16. </w:t>
      </w:r>
      <w:r w:rsidRPr="001A2F73">
        <w:rPr>
          <w:noProof/>
          <w:sz w:val="20"/>
          <w:szCs w:val="24"/>
          <w:lang w:val="en-US"/>
        </w:rPr>
        <w:tab/>
        <w:t>Li R, Yang M. A comparative study of the blend sign and the black hole sign on CT as a predictor of hematoma expansion in spontaneous intracerebral hemorrhage. Biosci. Trends 2017;11(6):682–687.</w:t>
      </w:r>
    </w:p>
    <w:p w:rsidR="00C941F7" w:rsidRPr="001A2F73" w:rsidRDefault="00C941F7" w:rsidP="00C941F7">
      <w:pPr>
        <w:widowControl w:val="0"/>
        <w:autoSpaceDE w:val="0"/>
        <w:autoSpaceDN w:val="0"/>
        <w:adjustRightInd w:val="0"/>
        <w:spacing w:after="120" w:line="240" w:lineRule="auto"/>
        <w:ind w:left="640" w:hanging="640"/>
        <w:rPr>
          <w:noProof/>
          <w:sz w:val="20"/>
          <w:szCs w:val="24"/>
          <w:lang w:val="en-US"/>
        </w:rPr>
      </w:pPr>
      <w:r w:rsidRPr="001A2F73">
        <w:rPr>
          <w:noProof/>
          <w:sz w:val="20"/>
          <w:szCs w:val="24"/>
          <w:lang w:val="en-US"/>
        </w:rPr>
        <w:t xml:space="preserve">17. </w:t>
      </w:r>
      <w:r w:rsidRPr="001A2F73">
        <w:rPr>
          <w:noProof/>
          <w:sz w:val="20"/>
          <w:szCs w:val="24"/>
          <w:lang w:val="en-US"/>
        </w:rPr>
        <w:tab/>
      </w:r>
      <w:r w:rsidRPr="00564C52">
        <w:rPr>
          <w:noProof/>
          <w:sz w:val="20"/>
          <w:szCs w:val="24"/>
          <w:lang w:val="en-US"/>
        </w:rPr>
        <w:t>Li Q, Yang W-S, Wang X-C, et al. Blend sign predicts poor outcome in patients with intracerebral hemorrhage. PLoS One 2017;12(8):e0183082.</w:t>
      </w:r>
    </w:p>
    <w:p w:rsidR="00C941F7" w:rsidRPr="001A2F73" w:rsidRDefault="00C941F7" w:rsidP="00C941F7">
      <w:pPr>
        <w:widowControl w:val="0"/>
        <w:autoSpaceDE w:val="0"/>
        <w:autoSpaceDN w:val="0"/>
        <w:adjustRightInd w:val="0"/>
        <w:spacing w:after="120" w:line="240" w:lineRule="auto"/>
        <w:ind w:left="640" w:hanging="640"/>
        <w:rPr>
          <w:noProof/>
          <w:sz w:val="20"/>
          <w:szCs w:val="24"/>
          <w:lang w:val="en-US"/>
        </w:rPr>
      </w:pPr>
      <w:r w:rsidRPr="001A2F73">
        <w:rPr>
          <w:noProof/>
          <w:sz w:val="20"/>
          <w:szCs w:val="24"/>
          <w:lang w:val="en-US"/>
        </w:rPr>
        <w:t xml:space="preserve">18. </w:t>
      </w:r>
      <w:r w:rsidRPr="001A2F73">
        <w:rPr>
          <w:noProof/>
          <w:sz w:val="20"/>
          <w:szCs w:val="24"/>
          <w:lang w:val="en-US"/>
        </w:rPr>
        <w:tab/>
        <w:t xml:space="preserve">Morotti A, Boulouis G, Romero JM, et al. </w:t>
      </w:r>
      <w:r w:rsidRPr="00564C52">
        <w:rPr>
          <w:noProof/>
          <w:sz w:val="20"/>
          <w:szCs w:val="24"/>
          <w:lang w:val="en-US"/>
        </w:rPr>
        <w:t>Blood pressure reduction and noncontrast CT markers of intracerebral hemorrhage expansion. Neurology 2017;89(6):548–554.</w:t>
      </w:r>
    </w:p>
    <w:p w:rsidR="00C941F7" w:rsidRPr="001A2F73" w:rsidRDefault="00C941F7" w:rsidP="00C941F7">
      <w:pPr>
        <w:widowControl w:val="0"/>
        <w:autoSpaceDE w:val="0"/>
        <w:autoSpaceDN w:val="0"/>
        <w:adjustRightInd w:val="0"/>
        <w:spacing w:after="120" w:line="240" w:lineRule="auto"/>
        <w:ind w:left="640" w:hanging="640"/>
        <w:rPr>
          <w:noProof/>
          <w:sz w:val="20"/>
          <w:szCs w:val="24"/>
          <w:lang w:val="en-US"/>
        </w:rPr>
      </w:pPr>
      <w:r w:rsidRPr="001A2F73">
        <w:rPr>
          <w:noProof/>
          <w:sz w:val="20"/>
          <w:szCs w:val="24"/>
          <w:lang w:val="en-US"/>
        </w:rPr>
        <w:t xml:space="preserve">19. </w:t>
      </w:r>
      <w:r w:rsidRPr="001A2F73">
        <w:rPr>
          <w:noProof/>
          <w:sz w:val="20"/>
          <w:szCs w:val="24"/>
          <w:lang w:val="en-US"/>
        </w:rPr>
        <w:tab/>
        <w:t>Ng D, Churilov L, Mitchell P, et al. The CT Swirl Sign Is Associated with Hematoma Expansion in Intracerebral Hemorrhage. Am. J. Neuroradiol. 2018;39(2):232–237.</w:t>
      </w:r>
    </w:p>
    <w:p w:rsidR="00C941F7" w:rsidRPr="00564C52" w:rsidRDefault="00C941F7" w:rsidP="00C941F7">
      <w:pPr>
        <w:widowControl w:val="0"/>
        <w:autoSpaceDE w:val="0"/>
        <w:autoSpaceDN w:val="0"/>
        <w:adjustRightInd w:val="0"/>
        <w:spacing w:after="120" w:line="240" w:lineRule="auto"/>
        <w:ind w:left="640" w:hanging="640"/>
        <w:rPr>
          <w:noProof/>
          <w:sz w:val="20"/>
          <w:szCs w:val="24"/>
        </w:rPr>
      </w:pPr>
      <w:r w:rsidRPr="001A2F73">
        <w:rPr>
          <w:noProof/>
          <w:sz w:val="20"/>
          <w:szCs w:val="24"/>
          <w:lang w:val="en-US"/>
        </w:rPr>
        <w:t xml:space="preserve">20. </w:t>
      </w:r>
      <w:r w:rsidRPr="001A2F73">
        <w:rPr>
          <w:noProof/>
          <w:sz w:val="20"/>
          <w:szCs w:val="24"/>
          <w:lang w:val="en-US"/>
        </w:rPr>
        <w:tab/>
        <w:t xml:space="preserve">Sporns PB, Schwake M, Kemmling A, et al. </w:t>
      </w:r>
      <w:r w:rsidRPr="00564C52">
        <w:rPr>
          <w:noProof/>
          <w:sz w:val="20"/>
          <w:szCs w:val="24"/>
          <w:lang w:val="en-US"/>
        </w:rPr>
        <w:t xml:space="preserve">Comparison of Spot Sign, Blend Sign and Black Hole Sign for Outcome Prediction in Patients with Intracerebral Hemorrhage. </w:t>
      </w:r>
      <w:r w:rsidRPr="00564C52">
        <w:rPr>
          <w:noProof/>
          <w:sz w:val="20"/>
          <w:szCs w:val="24"/>
        </w:rPr>
        <w:t>J. Stroke 2017;19(3):333–339.</w:t>
      </w:r>
    </w:p>
    <w:p w:rsidR="00C941F7" w:rsidRPr="001A2F73" w:rsidRDefault="00C941F7" w:rsidP="00C941F7">
      <w:pPr>
        <w:widowControl w:val="0"/>
        <w:autoSpaceDE w:val="0"/>
        <w:autoSpaceDN w:val="0"/>
        <w:adjustRightInd w:val="0"/>
        <w:spacing w:after="120" w:line="240" w:lineRule="auto"/>
        <w:ind w:left="640" w:hanging="640"/>
        <w:rPr>
          <w:noProof/>
          <w:sz w:val="20"/>
          <w:szCs w:val="24"/>
          <w:lang w:val="en-US"/>
        </w:rPr>
      </w:pPr>
      <w:r w:rsidRPr="00564C52">
        <w:rPr>
          <w:noProof/>
          <w:sz w:val="20"/>
          <w:szCs w:val="24"/>
        </w:rPr>
        <w:lastRenderedPageBreak/>
        <w:t xml:space="preserve"> 21. </w:t>
      </w:r>
      <w:r w:rsidRPr="00564C52">
        <w:rPr>
          <w:noProof/>
          <w:sz w:val="20"/>
          <w:szCs w:val="24"/>
        </w:rPr>
        <w:tab/>
        <w:t xml:space="preserve">Yu Z, Ma L, Zheng J, et al. </w:t>
      </w:r>
      <w:r w:rsidRPr="001A2F73">
        <w:rPr>
          <w:noProof/>
          <w:sz w:val="20"/>
          <w:szCs w:val="24"/>
          <w:lang w:val="en-US"/>
        </w:rPr>
        <w:t>Comparison of hematoma density heterogeneity and ultraearly hematoma growth in predicting hematoma expansion in patients with spontaneous intracerebral hemorrhage. J. Neurol. Sci. 2017;379:44–48.</w:t>
      </w:r>
    </w:p>
    <w:p w:rsidR="00C941F7" w:rsidRPr="001A2F73" w:rsidRDefault="00C941F7" w:rsidP="00C941F7">
      <w:pPr>
        <w:widowControl w:val="0"/>
        <w:autoSpaceDE w:val="0"/>
        <w:autoSpaceDN w:val="0"/>
        <w:adjustRightInd w:val="0"/>
        <w:spacing w:after="120" w:line="240" w:lineRule="auto"/>
        <w:ind w:left="640" w:hanging="640"/>
        <w:rPr>
          <w:noProof/>
          <w:sz w:val="20"/>
          <w:szCs w:val="24"/>
          <w:lang w:val="en-US"/>
        </w:rPr>
      </w:pPr>
      <w:r w:rsidRPr="001A2F73">
        <w:rPr>
          <w:noProof/>
          <w:sz w:val="20"/>
          <w:szCs w:val="24"/>
          <w:lang w:val="en-US"/>
        </w:rPr>
        <w:t xml:space="preserve">22. </w:t>
      </w:r>
      <w:r w:rsidRPr="001A2F73">
        <w:rPr>
          <w:noProof/>
          <w:sz w:val="20"/>
          <w:szCs w:val="24"/>
          <w:lang w:val="en-US"/>
        </w:rPr>
        <w:tab/>
        <w:t>Yu Z, Zheng J, Guo R, et al. Performance of blend sign in predicting hematoma expansion in intracerebral hemorrhage: A meta-analysis. Clin. Neurol. Neurosurg. 2017;163:84–89.</w:t>
      </w:r>
    </w:p>
    <w:p w:rsidR="00C941F7" w:rsidRPr="001A2F73" w:rsidRDefault="00C941F7" w:rsidP="00C941F7">
      <w:pPr>
        <w:widowControl w:val="0"/>
        <w:autoSpaceDE w:val="0"/>
        <w:autoSpaceDN w:val="0"/>
        <w:adjustRightInd w:val="0"/>
        <w:spacing w:after="120" w:line="240" w:lineRule="auto"/>
        <w:ind w:left="640" w:hanging="640"/>
        <w:rPr>
          <w:noProof/>
          <w:sz w:val="20"/>
          <w:szCs w:val="24"/>
          <w:lang w:val="en-US"/>
        </w:rPr>
      </w:pPr>
      <w:r w:rsidRPr="001A2F73">
        <w:rPr>
          <w:noProof/>
          <w:sz w:val="20"/>
          <w:szCs w:val="24"/>
          <w:lang w:val="en-US"/>
        </w:rPr>
        <w:t xml:space="preserve">23. </w:t>
      </w:r>
      <w:r w:rsidRPr="001A2F73">
        <w:rPr>
          <w:noProof/>
          <w:sz w:val="20"/>
          <w:szCs w:val="24"/>
          <w:lang w:val="en-US"/>
        </w:rPr>
        <w:tab/>
      </w:r>
      <w:r w:rsidRPr="00564C52">
        <w:rPr>
          <w:noProof/>
          <w:sz w:val="20"/>
          <w:szCs w:val="24"/>
          <w:lang w:val="en-US"/>
        </w:rPr>
        <w:t>Zheng J, Yu Z, Xu Z, et al. The Accuracy of the Spot Sign and the Blend Sign for Predicting Hematoma Expansion in Patients with Spontaneous Intracerebral Hemorrhage. Med. Sci. Monit. 2017;23:2250–2257.</w:t>
      </w:r>
    </w:p>
    <w:p w:rsidR="00C941F7" w:rsidRPr="00564C52" w:rsidRDefault="00C941F7" w:rsidP="00C941F7">
      <w:pPr>
        <w:widowControl w:val="0"/>
        <w:autoSpaceDE w:val="0"/>
        <w:autoSpaceDN w:val="0"/>
        <w:adjustRightInd w:val="0"/>
        <w:spacing w:after="120"/>
        <w:ind w:left="640" w:hanging="640"/>
        <w:rPr>
          <w:noProof/>
          <w:sz w:val="20"/>
          <w:szCs w:val="24"/>
          <w:lang w:val="en-US"/>
        </w:rPr>
      </w:pPr>
      <w:r w:rsidRPr="001A2F73">
        <w:rPr>
          <w:noProof/>
          <w:sz w:val="20"/>
          <w:szCs w:val="24"/>
          <w:lang w:val="en-US"/>
        </w:rPr>
        <w:t xml:space="preserve">24. </w:t>
      </w:r>
      <w:r w:rsidRPr="001A2F73">
        <w:rPr>
          <w:noProof/>
          <w:sz w:val="20"/>
          <w:szCs w:val="24"/>
          <w:lang w:val="en-US"/>
        </w:rPr>
        <w:tab/>
      </w:r>
      <w:r w:rsidRPr="00564C52">
        <w:rPr>
          <w:noProof/>
          <w:sz w:val="20"/>
          <w:szCs w:val="24"/>
          <w:lang w:val="en-US"/>
        </w:rPr>
        <w:t>Morotti A, Dowlatshahi D, Boulouis G, et al. Predicting Intracerebral Hemorrhage Expansion With Noncontrast Computed Tomography: The BAT Score. Stroke. 2018;49(5):1163-1169.</w:t>
      </w:r>
    </w:p>
    <w:p w:rsidR="00C941F7" w:rsidRPr="001A2F73" w:rsidRDefault="00C941F7" w:rsidP="00C941F7">
      <w:pPr>
        <w:widowControl w:val="0"/>
        <w:autoSpaceDE w:val="0"/>
        <w:autoSpaceDN w:val="0"/>
        <w:adjustRightInd w:val="0"/>
        <w:spacing w:after="120" w:line="240" w:lineRule="auto"/>
        <w:ind w:left="640" w:hanging="640"/>
        <w:rPr>
          <w:noProof/>
          <w:sz w:val="20"/>
          <w:szCs w:val="24"/>
          <w:lang w:val="en-US"/>
        </w:rPr>
      </w:pPr>
      <w:r w:rsidRPr="001E68DC">
        <w:rPr>
          <w:noProof/>
          <w:sz w:val="20"/>
          <w:szCs w:val="24"/>
          <w:lang w:val="en-US"/>
        </w:rPr>
        <w:t xml:space="preserve">25. </w:t>
      </w:r>
      <w:r w:rsidRPr="001E68DC">
        <w:rPr>
          <w:noProof/>
          <w:sz w:val="20"/>
          <w:szCs w:val="24"/>
          <w:lang w:val="en-US"/>
        </w:rPr>
        <w:tab/>
        <w:t xml:space="preserve">Morotti A, Boulouis G, Charidimou A, et al. </w:t>
      </w:r>
      <w:r w:rsidRPr="00564C52">
        <w:rPr>
          <w:noProof/>
          <w:sz w:val="20"/>
          <w:szCs w:val="24"/>
          <w:lang w:val="en-US"/>
        </w:rPr>
        <w:t xml:space="preserve">Integration of Computed Tomographic Angiography Spot Sign and Noncontrast Computed Tomographic Hypodensities to Predict Hematoma Expansion. </w:t>
      </w:r>
      <w:r w:rsidRPr="001A2F73">
        <w:rPr>
          <w:noProof/>
          <w:sz w:val="20"/>
          <w:szCs w:val="24"/>
          <w:lang w:val="en-US"/>
        </w:rPr>
        <w:t>Stroke 2018;49(9):2067–2073.</w:t>
      </w:r>
    </w:p>
    <w:p w:rsidR="00C941F7" w:rsidRPr="001A2F73" w:rsidRDefault="00C941F7" w:rsidP="00C941F7">
      <w:pPr>
        <w:widowControl w:val="0"/>
        <w:autoSpaceDE w:val="0"/>
        <w:autoSpaceDN w:val="0"/>
        <w:adjustRightInd w:val="0"/>
        <w:spacing w:after="120"/>
        <w:ind w:left="640" w:hanging="640"/>
        <w:rPr>
          <w:noProof/>
          <w:sz w:val="20"/>
          <w:szCs w:val="24"/>
        </w:rPr>
      </w:pPr>
      <w:r w:rsidRPr="001A2F73">
        <w:rPr>
          <w:noProof/>
          <w:sz w:val="20"/>
          <w:szCs w:val="24"/>
          <w:lang w:val="en-US"/>
        </w:rPr>
        <w:t xml:space="preserve">26. </w:t>
      </w:r>
      <w:r w:rsidRPr="001A2F73">
        <w:rPr>
          <w:noProof/>
          <w:sz w:val="20"/>
          <w:szCs w:val="24"/>
          <w:lang w:val="en-US"/>
        </w:rPr>
        <w:tab/>
      </w:r>
      <w:r w:rsidRPr="00564C52">
        <w:rPr>
          <w:noProof/>
          <w:sz w:val="20"/>
          <w:szCs w:val="24"/>
          <w:lang w:val="en-US"/>
        </w:rPr>
        <w:t xml:space="preserve">Yu Z, Zheng J, Guo R, et al. Prognostic Significance of Ultraearly Hematoma Growth in Spontaneous Intracerebral Hemorrhage Patients Receiving Hematoma Evacuation. </w:t>
      </w:r>
      <w:r w:rsidRPr="001A2F73">
        <w:rPr>
          <w:noProof/>
          <w:sz w:val="20"/>
          <w:szCs w:val="24"/>
        </w:rPr>
        <w:t>World Neurosurg. 2018;109:e651–e654.</w:t>
      </w:r>
    </w:p>
    <w:p w:rsidR="00C941F7" w:rsidRPr="001A2F73" w:rsidRDefault="00C941F7" w:rsidP="00C941F7">
      <w:pPr>
        <w:widowControl w:val="0"/>
        <w:autoSpaceDE w:val="0"/>
        <w:autoSpaceDN w:val="0"/>
        <w:adjustRightInd w:val="0"/>
        <w:spacing w:after="120" w:line="240" w:lineRule="auto"/>
        <w:ind w:left="640" w:hanging="640"/>
        <w:rPr>
          <w:noProof/>
          <w:sz w:val="20"/>
          <w:szCs w:val="24"/>
          <w:lang w:val="en-US"/>
        </w:rPr>
      </w:pPr>
      <w:r w:rsidRPr="00564C52">
        <w:rPr>
          <w:noProof/>
          <w:sz w:val="20"/>
          <w:szCs w:val="24"/>
        </w:rPr>
        <w:t xml:space="preserve">27. </w:t>
      </w:r>
      <w:r w:rsidRPr="00564C52">
        <w:rPr>
          <w:noProof/>
          <w:sz w:val="20"/>
          <w:szCs w:val="24"/>
        </w:rPr>
        <w:tab/>
      </w:r>
      <w:r w:rsidRPr="001A2F73">
        <w:rPr>
          <w:noProof/>
          <w:sz w:val="20"/>
          <w:szCs w:val="24"/>
        </w:rPr>
        <w:t xml:space="preserve">Zhang F, Li H, Qian J, et al. </w:t>
      </w:r>
      <w:r w:rsidRPr="00564C52">
        <w:rPr>
          <w:noProof/>
          <w:sz w:val="20"/>
          <w:szCs w:val="24"/>
          <w:lang w:val="en-US"/>
        </w:rPr>
        <w:t>Island Sign Predicts Long-Term Poor Outcome and Mortality in Patients with Intracerebral Hemorrhage. World Neurosurg. 2018;120:e304–e312.</w:t>
      </w:r>
    </w:p>
    <w:p w:rsidR="00C941F7" w:rsidRPr="001A2F73" w:rsidRDefault="00C941F7" w:rsidP="00C941F7">
      <w:pPr>
        <w:widowControl w:val="0"/>
        <w:autoSpaceDE w:val="0"/>
        <w:autoSpaceDN w:val="0"/>
        <w:adjustRightInd w:val="0"/>
        <w:spacing w:after="120" w:line="240" w:lineRule="auto"/>
        <w:ind w:left="640" w:hanging="640"/>
        <w:rPr>
          <w:noProof/>
          <w:sz w:val="20"/>
          <w:szCs w:val="24"/>
          <w:lang w:val="en-US"/>
        </w:rPr>
      </w:pPr>
      <w:r w:rsidRPr="001A2F73">
        <w:rPr>
          <w:noProof/>
          <w:sz w:val="20"/>
          <w:szCs w:val="24"/>
          <w:lang w:val="en-US"/>
        </w:rPr>
        <w:t xml:space="preserve">28. </w:t>
      </w:r>
      <w:r w:rsidRPr="001A2F73">
        <w:rPr>
          <w:noProof/>
          <w:sz w:val="20"/>
          <w:szCs w:val="24"/>
          <w:lang w:val="en-US"/>
        </w:rPr>
        <w:tab/>
      </w:r>
      <w:r w:rsidRPr="00564C52">
        <w:rPr>
          <w:noProof/>
          <w:sz w:val="20"/>
          <w:szCs w:val="24"/>
          <w:lang w:val="en-US"/>
        </w:rPr>
        <w:t>Elkhatib THM, Shehta N, Bessar AA. Hematoma Expansion Predictors: Laboratory and Radiological Risk Factors in Patients with Acute Intracerebral Hemorrhage: A Prospective Observational Study. J Stroke Cerebrovasc Dis. 2019 May 24. pii: S1052-3057(19)30219-8. doi: 10.1016/j.jstrokecerebrovasdis.2019.04.038. [Epub ahead of print].</w:t>
      </w:r>
    </w:p>
    <w:p w:rsidR="00C941F7" w:rsidRPr="001A2F73" w:rsidRDefault="00C941F7" w:rsidP="00C941F7">
      <w:pPr>
        <w:widowControl w:val="0"/>
        <w:autoSpaceDE w:val="0"/>
        <w:autoSpaceDN w:val="0"/>
        <w:adjustRightInd w:val="0"/>
        <w:spacing w:after="120" w:line="240" w:lineRule="auto"/>
        <w:ind w:left="640" w:hanging="640"/>
        <w:rPr>
          <w:noProof/>
          <w:sz w:val="20"/>
          <w:szCs w:val="24"/>
          <w:lang w:val="en-US"/>
        </w:rPr>
      </w:pPr>
      <w:r w:rsidRPr="001A2F73">
        <w:rPr>
          <w:noProof/>
          <w:sz w:val="20"/>
          <w:szCs w:val="24"/>
          <w:lang w:val="en-US"/>
        </w:rPr>
        <w:t xml:space="preserve">29. </w:t>
      </w:r>
      <w:r w:rsidRPr="001A2F73">
        <w:rPr>
          <w:noProof/>
          <w:sz w:val="20"/>
          <w:szCs w:val="24"/>
          <w:lang w:val="en-US"/>
        </w:rPr>
        <w:tab/>
        <w:t xml:space="preserve">Yogendrakumar V, Ramsay T, Fergusson DA, et al. </w:t>
      </w:r>
      <w:r w:rsidRPr="00564C52">
        <w:rPr>
          <w:noProof/>
          <w:sz w:val="20"/>
          <w:szCs w:val="24"/>
          <w:lang w:val="en-US"/>
        </w:rPr>
        <w:t>Independent Validation of the Hematoma Expansion Prediction Score: A Non-contrast Score Equivalent in Accuracy to the Spot Sign. Neurocrit Care. 2019 May 23. doi: 10.1007/s12028-019-00740-5. [Epub ahead of print].</w:t>
      </w:r>
    </w:p>
    <w:p w:rsidR="00C941F7" w:rsidRPr="00564C52" w:rsidRDefault="00C941F7" w:rsidP="00C941F7">
      <w:pPr>
        <w:widowControl w:val="0"/>
        <w:autoSpaceDE w:val="0"/>
        <w:autoSpaceDN w:val="0"/>
        <w:adjustRightInd w:val="0"/>
        <w:spacing w:after="120" w:line="240" w:lineRule="auto"/>
        <w:ind w:left="640" w:hanging="640"/>
        <w:rPr>
          <w:noProof/>
          <w:sz w:val="20"/>
          <w:szCs w:val="24"/>
          <w:lang w:val="en-US"/>
        </w:rPr>
      </w:pPr>
      <w:r w:rsidRPr="001A2F73">
        <w:rPr>
          <w:noProof/>
          <w:sz w:val="20"/>
          <w:szCs w:val="24"/>
          <w:lang w:val="en-US"/>
        </w:rPr>
        <w:t xml:space="preserve">30. </w:t>
      </w:r>
      <w:r w:rsidRPr="001A2F73">
        <w:rPr>
          <w:noProof/>
          <w:sz w:val="20"/>
          <w:szCs w:val="24"/>
          <w:lang w:val="en-US"/>
        </w:rPr>
        <w:tab/>
      </w:r>
      <w:r w:rsidRPr="00564C52">
        <w:rPr>
          <w:noProof/>
          <w:sz w:val="20"/>
          <w:szCs w:val="24"/>
          <w:lang w:val="en-US"/>
        </w:rPr>
        <w:t>Park BK, Kwak HS, Chung GH, Hwang SB. Diagnostic value of swirl sign on noncontrast computed tomography and spot sign on computed tomographic angiography to predict intracranial hemorrhage expansion. Clin. Neurol. Neurosurg. 2019;182:130–135.</w:t>
      </w:r>
    </w:p>
    <w:p w:rsidR="00C941F7" w:rsidRPr="00564C52" w:rsidRDefault="00C941F7" w:rsidP="00C941F7">
      <w:pPr>
        <w:widowControl w:val="0"/>
        <w:autoSpaceDE w:val="0"/>
        <w:autoSpaceDN w:val="0"/>
        <w:adjustRightInd w:val="0"/>
        <w:spacing w:after="120" w:line="240" w:lineRule="auto"/>
        <w:ind w:left="640" w:hanging="640"/>
        <w:rPr>
          <w:noProof/>
          <w:sz w:val="20"/>
          <w:szCs w:val="24"/>
          <w:lang w:val="en-US"/>
        </w:rPr>
      </w:pPr>
      <w:r w:rsidRPr="001A2F73">
        <w:rPr>
          <w:noProof/>
          <w:sz w:val="20"/>
          <w:szCs w:val="24"/>
          <w:lang w:val="en-US"/>
        </w:rPr>
        <w:t xml:space="preserve">31. </w:t>
      </w:r>
      <w:r w:rsidRPr="001A2F73">
        <w:rPr>
          <w:noProof/>
          <w:sz w:val="20"/>
          <w:szCs w:val="24"/>
          <w:lang w:val="en-US"/>
        </w:rPr>
        <w:tab/>
      </w:r>
      <w:r w:rsidRPr="00564C52">
        <w:rPr>
          <w:noProof/>
          <w:sz w:val="20"/>
          <w:szCs w:val="24"/>
          <w:lang w:val="en-US"/>
        </w:rPr>
        <w:t>Yu Z, Zheng J, Xia F, et al. BAT Score Versus Spot Sign in Predicting Intracerebral Hemorrhage Expansion. World Neurosurg. 2019 Mar 4. pii: S1878-8750(19)30548-0. doi: 10.1016/j.wneu.2019.02.125. [Epub ahead of print].</w:t>
      </w:r>
    </w:p>
    <w:p w:rsidR="00C941F7" w:rsidRPr="00564C52" w:rsidRDefault="00C941F7" w:rsidP="00C941F7">
      <w:pPr>
        <w:widowControl w:val="0"/>
        <w:autoSpaceDE w:val="0"/>
        <w:autoSpaceDN w:val="0"/>
        <w:adjustRightInd w:val="0"/>
        <w:spacing w:after="120"/>
        <w:ind w:left="640" w:hanging="640"/>
        <w:rPr>
          <w:noProof/>
          <w:sz w:val="20"/>
          <w:szCs w:val="24"/>
        </w:rPr>
      </w:pPr>
      <w:r w:rsidRPr="001A2F73">
        <w:rPr>
          <w:noProof/>
          <w:sz w:val="20"/>
          <w:szCs w:val="24"/>
          <w:lang w:val="en-US"/>
        </w:rPr>
        <w:t xml:space="preserve">32. </w:t>
      </w:r>
      <w:r w:rsidRPr="001A2F73">
        <w:rPr>
          <w:noProof/>
          <w:sz w:val="20"/>
          <w:szCs w:val="24"/>
          <w:lang w:val="en-US"/>
        </w:rPr>
        <w:tab/>
      </w:r>
      <w:r w:rsidRPr="00564C52">
        <w:rPr>
          <w:noProof/>
          <w:sz w:val="20"/>
          <w:szCs w:val="24"/>
          <w:lang w:val="en-US"/>
        </w:rPr>
        <w:t xml:space="preserve">Zhang F, Zhang S, Tao C, et al. The comparative study of island sign and the spot sign in predicting short-term prognosis of patients with intracerebral hemorrhage. </w:t>
      </w:r>
      <w:r w:rsidRPr="00564C52">
        <w:rPr>
          <w:noProof/>
          <w:sz w:val="20"/>
          <w:szCs w:val="24"/>
        </w:rPr>
        <w:t>J. Neurol. Sci. 2019;396:133–139.</w:t>
      </w:r>
    </w:p>
    <w:p w:rsidR="00C941F7" w:rsidRPr="001E68DC" w:rsidRDefault="00C941F7" w:rsidP="00C941F7">
      <w:pPr>
        <w:widowControl w:val="0"/>
        <w:autoSpaceDE w:val="0"/>
        <w:autoSpaceDN w:val="0"/>
        <w:adjustRightInd w:val="0"/>
        <w:spacing w:after="120" w:line="240" w:lineRule="auto"/>
        <w:ind w:left="640" w:hanging="640"/>
        <w:rPr>
          <w:noProof/>
          <w:sz w:val="20"/>
          <w:lang w:val="en-US"/>
        </w:rPr>
      </w:pPr>
      <w:r w:rsidRPr="00564C52">
        <w:rPr>
          <w:noProof/>
          <w:sz w:val="20"/>
          <w:szCs w:val="24"/>
        </w:rPr>
        <w:t xml:space="preserve">33. </w:t>
      </w:r>
      <w:r w:rsidRPr="00564C52">
        <w:rPr>
          <w:noProof/>
          <w:sz w:val="20"/>
          <w:szCs w:val="24"/>
        </w:rPr>
        <w:tab/>
        <w:t xml:space="preserve">Yu Z, Zheng J, Li M, et al. </w:t>
      </w:r>
      <w:r w:rsidRPr="00564C52">
        <w:rPr>
          <w:noProof/>
          <w:sz w:val="20"/>
          <w:szCs w:val="24"/>
          <w:lang w:val="en-US"/>
        </w:rPr>
        <w:t>Determining the Optimal Shape-Related Indicator on Noncontrast Computed Tomography for Predicting Hematoma Expansion in Spontaneous Intracerebral Hemor</w:t>
      </w:r>
      <w:r>
        <w:rPr>
          <w:noProof/>
          <w:sz w:val="20"/>
          <w:szCs w:val="24"/>
          <w:lang w:val="en-US"/>
        </w:rPr>
        <w:t>rhage. World Neurosurg. 2019</w:t>
      </w:r>
      <w:r w:rsidRPr="00564C52">
        <w:rPr>
          <w:noProof/>
          <w:sz w:val="20"/>
          <w:szCs w:val="24"/>
          <w:lang w:val="en-US"/>
        </w:rPr>
        <w:t>;121:e584-e588</w:t>
      </w:r>
    </w:p>
    <w:p w:rsidR="00C941F7" w:rsidRPr="00DA38D7" w:rsidRDefault="00C941F7" w:rsidP="00C941F7">
      <w:pPr>
        <w:spacing w:after="120"/>
        <w:rPr>
          <w:b/>
          <w:sz w:val="20"/>
          <w:szCs w:val="20"/>
          <w:lang w:val="en-US"/>
        </w:rPr>
      </w:pPr>
      <w:r w:rsidRPr="00564C52">
        <w:rPr>
          <w:b/>
          <w:sz w:val="20"/>
          <w:szCs w:val="20"/>
          <w:lang w:val="en-US"/>
        </w:rPr>
        <w:fldChar w:fldCharType="end"/>
      </w:r>
    </w:p>
    <w:p w:rsidR="00C941F7" w:rsidRDefault="00C941F7" w:rsidP="00C941F7">
      <w:pPr>
        <w:rPr>
          <w:noProof/>
          <w:sz w:val="20"/>
          <w:szCs w:val="20"/>
          <w:lang w:val="en-US" w:eastAsia="it-IT"/>
        </w:rPr>
      </w:pPr>
    </w:p>
    <w:p w:rsidR="00C941F7" w:rsidRDefault="00C941F7" w:rsidP="00C941F7">
      <w:pPr>
        <w:rPr>
          <w:noProof/>
          <w:sz w:val="20"/>
          <w:szCs w:val="20"/>
          <w:lang w:val="en-US" w:eastAsia="it-IT"/>
        </w:rPr>
      </w:pPr>
    </w:p>
    <w:p w:rsidR="00C941F7" w:rsidRDefault="00C941F7" w:rsidP="00C941F7">
      <w:pPr>
        <w:rPr>
          <w:noProof/>
          <w:sz w:val="20"/>
          <w:szCs w:val="20"/>
          <w:lang w:val="en-US" w:eastAsia="it-IT"/>
        </w:rPr>
      </w:pPr>
    </w:p>
    <w:p w:rsidR="00C941F7" w:rsidRDefault="00C941F7" w:rsidP="00C941F7">
      <w:pPr>
        <w:rPr>
          <w:noProof/>
          <w:sz w:val="20"/>
          <w:szCs w:val="20"/>
          <w:lang w:val="en-US" w:eastAsia="it-IT"/>
        </w:rPr>
      </w:pPr>
    </w:p>
    <w:p w:rsidR="00C941F7" w:rsidRDefault="00C941F7" w:rsidP="00C941F7">
      <w:pPr>
        <w:rPr>
          <w:noProof/>
          <w:sz w:val="20"/>
          <w:szCs w:val="20"/>
          <w:lang w:val="en-US" w:eastAsia="it-IT"/>
        </w:rPr>
      </w:pPr>
    </w:p>
    <w:p w:rsidR="00C941F7" w:rsidRDefault="00C941F7" w:rsidP="00C941F7">
      <w:pPr>
        <w:rPr>
          <w:noProof/>
          <w:sz w:val="20"/>
          <w:szCs w:val="20"/>
          <w:lang w:val="en-US" w:eastAsia="it-IT"/>
        </w:rPr>
      </w:pPr>
    </w:p>
    <w:p w:rsidR="00C941F7" w:rsidRDefault="00C941F7" w:rsidP="00C941F7">
      <w:pPr>
        <w:rPr>
          <w:noProof/>
          <w:sz w:val="20"/>
          <w:szCs w:val="20"/>
          <w:lang w:val="en-US" w:eastAsia="it-IT"/>
        </w:rPr>
      </w:pPr>
    </w:p>
    <w:p w:rsidR="00C941F7" w:rsidRDefault="00C941F7" w:rsidP="00C941F7">
      <w:pPr>
        <w:rPr>
          <w:noProof/>
          <w:sz w:val="20"/>
          <w:szCs w:val="20"/>
          <w:lang w:val="en-US" w:eastAsia="it-IT"/>
        </w:rPr>
      </w:pPr>
    </w:p>
    <w:p w:rsidR="00C941F7" w:rsidRDefault="00C941F7" w:rsidP="00C941F7">
      <w:pPr>
        <w:rPr>
          <w:noProof/>
          <w:sz w:val="20"/>
          <w:szCs w:val="20"/>
          <w:lang w:val="en-US" w:eastAsia="it-IT"/>
        </w:rPr>
      </w:pPr>
    </w:p>
    <w:p w:rsidR="00C941F7" w:rsidRDefault="00C941F7" w:rsidP="00C941F7">
      <w:pPr>
        <w:rPr>
          <w:noProof/>
          <w:sz w:val="20"/>
          <w:szCs w:val="20"/>
          <w:lang w:val="en-US" w:eastAsia="it-IT"/>
        </w:rPr>
      </w:pPr>
    </w:p>
    <w:p w:rsidR="00C941F7" w:rsidRPr="007C453D" w:rsidRDefault="00C941F7" w:rsidP="00C941F7">
      <w:pPr>
        <w:rPr>
          <w:noProof/>
          <w:sz w:val="20"/>
          <w:szCs w:val="20"/>
          <w:lang w:val="en-US" w:eastAsia="it-IT"/>
        </w:rPr>
      </w:pPr>
      <w:r w:rsidRPr="007C453D">
        <w:rPr>
          <w:b/>
          <w:noProof/>
          <w:sz w:val="20"/>
          <w:szCs w:val="20"/>
          <w:lang w:val="en-US" w:eastAsia="it-IT"/>
        </w:rPr>
        <w:t xml:space="preserve">Table </w:t>
      </w:r>
      <w:r>
        <w:rPr>
          <w:b/>
          <w:noProof/>
          <w:sz w:val="20"/>
          <w:szCs w:val="20"/>
          <w:lang w:val="en-US" w:eastAsia="it-IT"/>
        </w:rPr>
        <w:t>2</w:t>
      </w:r>
      <w:r w:rsidRPr="007C453D">
        <w:rPr>
          <w:b/>
          <w:noProof/>
          <w:sz w:val="20"/>
          <w:szCs w:val="20"/>
          <w:lang w:val="en-US" w:eastAsia="it-IT"/>
        </w:rPr>
        <w:t xml:space="preserve">. </w:t>
      </w:r>
      <w:r w:rsidRPr="007C453D">
        <w:rPr>
          <w:noProof/>
          <w:sz w:val="20"/>
          <w:szCs w:val="20"/>
          <w:lang w:val="en-US" w:eastAsia="it-IT"/>
        </w:rPr>
        <w:t>Summary of the operational NCCT settings and criteria for detecting NCCT markers</w:t>
      </w:r>
    </w:p>
    <w:tbl>
      <w:tblPr>
        <w:tblW w:w="101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173"/>
      </w:tblGrid>
      <w:tr w:rsidR="00C941F7" w:rsidRPr="001A2F73" w:rsidTr="00D10CED">
        <w:trPr>
          <w:trHeight w:hRule="exact" w:val="382"/>
        </w:trPr>
        <w:tc>
          <w:tcPr>
            <w:tcW w:w="10173" w:type="dxa"/>
            <w:tcBorders>
              <w:top w:val="single" w:sz="12" w:space="0" w:color="auto"/>
              <w:bottom w:val="single" w:sz="6" w:space="0" w:color="auto"/>
            </w:tcBorders>
            <w:shd w:val="pct10" w:color="auto" w:fill="auto"/>
          </w:tcPr>
          <w:p w:rsidR="00C941F7" w:rsidRPr="007C453D" w:rsidRDefault="00C941F7" w:rsidP="00D10CED">
            <w:pPr>
              <w:spacing w:before="60" w:after="60"/>
              <w:rPr>
                <w:b/>
                <w:sz w:val="20"/>
                <w:szCs w:val="20"/>
                <w:lang w:val="en-US"/>
              </w:rPr>
            </w:pPr>
            <w:r w:rsidRPr="007C453D">
              <w:rPr>
                <w:b/>
                <w:sz w:val="20"/>
                <w:szCs w:val="20"/>
                <w:lang w:val="en-US"/>
              </w:rPr>
              <w:t>NCCT SETTINGS</w:t>
            </w:r>
          </w:p>
        </w:tc>
      </w:tr>
      <w:tr w:rsidR="00C941F7" w:rsidRPr="00F022D2" w:rsidTr="00D10CED">
        <w:trPr>
          <w:trHeight w:hRule="exact" w:val="1439"/>
        </w:trPr>
        <w:tc>
          <w:tcPr>
            <w:tcW w:w="10173" w:type="dxa"/>
            <w:tcBorders>
              <w:top w:val="single" w:sz="6" w:space="0" w:color="auto"/>
              <w:bottom w:val="single" w:sz="12" w:space="0" w:color="auto"/>
            </w:tcBorders>
            <w:shd w:val="clear" w:color="auto" w:fill="auto"/>
          </w:tcPr>
          <w:p w:rsidR="00C941F7" w:rsidRPr="007C453D" w:rsidRDefault="00C941F7" w:rsidP="00C941F7">
            <w:pPr>
              <w:numPr>
                <w:ilvl w:val="0"/>
                <w:numId w:val="8"/>
              </w:numPr>
              <w:spacing w:before="60" w:after="60" w:line="276" w:lineRule="auto"/>
              <w:rPr>
                <w:sz w:val="20"/>
                <w:szCs w:val="20"/>
                <w:lang w:val="en-US"/>
              </w:rPr>
            </w:pPr>
            <w:r w:rsidRPr="007C453D">
              <w:rPr>
                <w:sz w:val="20"/>
                <w:szCs w:val="20"/>
                <w:lang w:val="en-US"/>
              </w:rPr>
              <w:t xml:space="preserve">Axial 5mm thickness slices. </w:t>
            </w:r>
          </w:p>
          <w:p w:rsidR="00C941F7" w:rsidRPr="007C453D" w:rsidRDefault="00C941F7" w:rsidP="00C941F7">
            <w:pPr>
              <w:numPr>
                <w:ilvl w:val="0"/>
                <w:numId w:val="8"/>
              </w:numPr>
              <w:spacing w:before="60" w:after="60" w:line="276" w:lineRule="auto"/>
              <w:rPr>
                <w:sz w:val="20"/>
                <w:szCs w:val="20"/>
                <w:lang w:val="en-US"/>
              </w:rPr>
            </w:pPr>
            <w:r w:rsidRPr="007C453D">
              <w:rPr>
                <w:sz w:val="20"/>
                <w:szCs w:val="20"/>
                <w:lang w:val="en-US"/>
              </w:rPr>
              <w:t>Thinner slices or coronal/sagittal reconstruction may help the recognition of NCCT markers that need to be encapsulated in the hemorrhage</w:t>
            </w:r>
          </w:p>
          <w:p w:rsidR="00C941F7" w:rsidRPr="007C453D" w:rsidRDefault="00C941F7" w:rsidP="00C941F7">
            <w:pPr>
              <w:numPr>
                <w:ilvl w:val="0"/>
                <w:numId w:val="8"/>
              </w:numPr>
              <w:spacing w:before="60" w:after="60" w:line="276" w:lineRule="auto"/>
              <w:rPr>
                <w:sz w:val="20"/>
                <w:szCs w:val="20"/>
                <w:lang w:val="en-US"/>
              </w:rPr>
            </w:pPr>
            <w:r>
              <w:rPr>
                <w:sz w:val="20"/>
                <w:szCs w:val="20"/>
                <w:lang w:val="en-US"/>
              </w:rPr>
              <w:t>Optimize the balance between radiation delivery and image quality</w:t>
            </w:r>
          </w:p>
        </w:tc>
      </w:tr>
      <w:tr w:rsidR="00C941F7" w:rsidRPr="00AC3653" w:rsidTr="00D10CED">
        <w:trPr>
          <w:trHeight w:hRule="exact" w:val="432"/>
        </w:trPr>
        <w:tc>
          <w:tcPr>
            <w:tcW w:w="10173" w:type="dxa"/>
            <w:tcBorders>
              <w:top w:val="single" w:sz="12" w:space="0" w:color="auto"/>
              <w:bottom w:val="single" w:sz="6" w:space="0" w:color="auto"/>
            </w:tcBorders>
            <w:shd w:val="pct10" w:color="auto" w:fill="auto"/>
          </w:tcPr>
          <w:p w:rsidR="00C941F7" w:rsidRPr="007C453D" w:rsidRDefault="00C941F7" w:rsidP="00D10CED">
            <w:pPr>
              <w:spacing w:before="60" w:after="60"/>
              <w:rPr>
                <w:b/>
                <w:sz w:val="20"/>
                <w:szCs w:val="20"/>
                <w:lang w:val="en-US"/>
              </w:rPr>
            </w:pPr>
            <w:r w:rsidRPr="007C453D">
              <w:rPr>
                <w:b/>
                <w:sz w:val="20"/>
                <w:szCs w:val="20"/>
                <w:lang w:val="en-US"/>
              </w:rPr>
              <w:t>NCCT MARKERS DIAGNOSTIC CRITERIA</w:t>
            </w:r>
          </w:p>
        </w:tc>
      </w:tr>
      <w:tr w:rsidR="00C941F7" w:rsidRPr="00F022D2" w:rsidTr="00D10CED">
        <w:trPr>
          <w:trHeight w:hRule="exact" w:val="5087"/>
        </w:trPr>
        <w:tc>
          <w:tcPr>
            <w:tcW w:w="10173" w:type="dxa"/>
            <w:tcBorders>
              <w:top w:val="single" w:sz="6" w:space="0" w:color="auto"/>
            </w:tcBorders>
            <w:shd w:val="clear" w:color="auto" w:fill="auto"/>
          </w:tcPr>
          <w:p w:rsidR="00C941F7" w:rsidRPr="007C453D" w:rsidRDefault="00C941F7" w:rsidP="00C941F7">
            <w:pPr>
              <w:numPr>
                <w:ilvl w:val="0"/>
                <w:numId w:val="8"/>
              </w:numPr>
              <w:spacing w:before="60" w:after="60" w:line="276" w:lineRule="auto"/>
              <w:rPr>
                <w:b/>
                <w:sz w:val="20"/>
                <w:szCs w:val="20"/>
                <w:lang w:val="en-US"/>
              </w:rPr>
            </w:pPr>
            <w:r w:rsidRPr="007C453D">
              <w:rPr>
                <w:b/>
                <w:sz w:val="20"/>
                <w:szCs w:val="20"/>
                <w:lang w:val="en-US"/>
              </w:rPr>
              <w:t xml:space="preserve">Heterogenous Density: </w:t>
            </w:r>
            <w:r w:rsidRPr="007C453D">
              <w:rPr>
                <w:sz w:val="20"/>
                <w:szCs w:val="20"/>
                <w:lang w:val="en-US"/>
              </w:rPr>
              <w:t>3 or more foci of hypoattenuation (compared with the hemorrhage), evaluated on the axial NCCT slice showing largest hemorrhage area.</w:t>
            </w:r>
          </w:p>
          <w:p w:rsidR="00C941F7" w:rsidRPr="007C453D" w:rsidRDefault="00C941F7" w:rsidP="00C941F7">
            <w:pPr>
              <w:numPr>
                <w:ilvl w:val="0"/>
                <w:numId w:val="8"/>
              </w:numPr>
              <w:spacing w:before="60" w:after="60" w:line="276" w:lineRule="auto"/>
              <w:rPr>
                <w:b/>
                <w:sz w:val="20"/>
                <w:szCs w:val="20"/>
                <w:lang w:val="en-US"/>
              </w:rPr>
            </w:pPr>
            <w:r w:rsidRPr="007C453D">
              <w:rPr>
                <w:b/>
                <w:sz w:val="20"/>
                <w:szCs w:val="20"/>
                <w:lang w:val="en-US"/>
              </w:rPr>
              <w:t xml:space="preserve">Swirl Sign: </w:t>
            </w:r>
            <w:r w:rsidRPr="007C453D">
              <w:rPr>
                <w:sz w:val="20"/>
                <w:szCs w:val="20"/>
                <w:lang w:val="en-US"/>
              </w:rPr>
              <w:t xml:space="preserve">area of hypo or isoattenuation (compared with the brain parenchyma). Any shape and dimension. Can </w:t>
            </w:r>
            <w:proofErr w:type="gramStart"/>
            <w:r w:rsidRPr="007C453D">
              <w:rPr>
                <w:sz w:val="20"/>
                <w:szCs w:val="20"/>
                <w:lang w:val="en-US"/>
              </w:rPr>
              <w:t>be connected with</w:t>
            </w:r>
            <w:proofErr w:type="gramEnd"/>
            <w:r w:rsidRPr="007C453D">
              <w:rPr>
                <w:sz w:val="20"/>
                <w:szCs w:val="20"/>
                <w:lang w:val="en-US"/>
              </w:rPr>
              <w:t xml:space="preserve"> brain tissue around the hemorrhage.</w:t>
            </w:r>
          </w:p>
          <w:p w:rsidR="00C941F7" w:rsidRDefault="00C941F7" w:rsidP="00C941F7">
            <w:pPr>
              <w:numPr>
                <w:ilvl w:val="0"/>
                <w:numId w:val="8"/>
              </w:numPr>
              <w:spacing w:before="60" w:after="60" w:line="276" w:lineRule="auto"/>
              <w:rPr>
                <w:sz w:val="20"/>
                <w:szCs w:val="20"/>
                <w:lang w:val="en-US"/>
              </w:rPr>
            </w:pPr>
            <w:r w:rsidRPr="007C453D">
              <w:rPr>
                <w:b/>
                <w:sz w:val="20"/>
                <w:szCs w:val="20"/>
                <w:lang w:val="en-US"/>
              </w:rPr>
              <w:t xml:space="preserve">Hypodensity: </w:t>
            </w:r>
            <w:r w:rsidRPr="007C453D">
              <w:rPr>
                <w:sz w:val="20"/>
                <w:szCs w:val="20"/>
                <w:lang w:val="en-US"/>
              </w:rPr>
              <w:t>any hypodense region strictly encapsulated within the hemorrhage with any shape, size and density.</w:t>
            </w:r>
          </w:p>
          <w:p w:rsidR="00C941F7" w:rsidRPr="007C453D" w:rsidRDefault="00C941F7" w:rsidP="00C941F7">
            <w:pPr>
              <w:numPr>
                <w:ilvl w:val="0"/>
                <w:numId w:val="8"/>
              </w:numPr>
              <w:spacing w:before="60" w:after="60" w:line="276" w:lineRule="auto"/>
              <w:rPr>
                <w:sz w:val="20"/>
                <w:szCs w:val="20"/>
                <w:lang w:val="en-US"/>
              </w:rPr>
            </w:pPr>
            <w:r w:rsidRPr="007C453D">
              <w:rPr>
                <w:b/>
                <w:sz w:val="20"/>
                <w:szCs w:val="20"/>
                <w:lang w:val="en-US"/>
              </w:rPr>
              <w:t>Black hole Sign:</w:t>
            </w:r>
            <w:r w:rsidRPr="007C453D">
              <w:rPr>
                <w:sz w:val="20"/>
                <w:szCs w:val="20"/>
                <w:lang w:val="en-US"/>
              </w:rPr>
              <w:t xml:space="preserve"> hypodense area with a density difference &gt; 28 HU compared with the surrounding hematoma. No connection with structures outside the hemorrhage</w:t>
            </w:r>
          </w:p>
          <w:p w:rsidR="00C941F7" w:rsidRPr="007C453D" w:rsidRDefault="00C941F7" w:rsidP="00C941F7">
            <w:pPr>
              <w:numPr>
                <w:ilvl w:val="0"/>
                <w:numId w:val="8"/>
              </w:numPr>
              <w:spacing w:before="60" w:after="60" w:line="276" w:lineRule="auto"/>
              <w:rPr>
                <w:sz w:val="20"/>
                <w:szCs w:val="20"/>
                <w:lang w:val="en-US"/>
              </w:rPr>
            </w:pPr>
            <w:r w:rsidRPr="007C453D">
              <w:rPr>
                <w:b/>
                <w:sz w:val="20"/>
                <w:szCs w:val="20"/>
                <w:lang w:val="en-US"/>
              </w:rPr>
              <w:t>Blend sign:</w:t>
            </w:r>
            <w:r w:rsidRPr="007C453D">
              <w:rPr>
                <w:sz w:val="20"/>
                <w:szCs w:val="20"/>
                <w:lang w:val="en-US"/>
              </w:rPr>
              <w:t xml:space="preserve"> hypoattenuating area next to a hyperattenuating area of the hematoma. Sharp distinction and density difference &gt;18 HU between the two regions.</w:t>
            </w:r>
          </w:p>
          <w:p w:rsidR="00C941F7" w:rsidRPr="007C453D" w:rsidRDefault="00C941F7" w:rsidP="00C941F7">
            <w:pPr>
              <w:numPr>
                <w:ilvl w:val="0"/>
                <w:numId w:val="8"/>
              </w:numPr>
              <w:spacing w:before="60" w:after="60" w:line="276" w:lineRule="auto"/>
              <w:rPr>
                <w:sz w:val="20"/>
                <w:szCs w:val="20"/>
                <w:lang w:val="en-US"/>
              </w:rPr>
            </w:pPr>
            <w:r w:rsidRPr="007C453D">
              <w:rPr>
                <w:b/>
                <w:sz w:val="20"/>
                <w:szCs w:val="20"/>
                <w:lang w:val="en-US"/>
              </w:rPr>
              <w:t>Fluid level:</w:t>
            </w:r>
            <w:r w:rsidRPr="007C453D">
              <w:rPr>
                <w:sz w:val="20"/>
                <w:szCs w:val="20"/>
                <w:lang w:val="en-US"/>
              </w:rPr>
              <w:t xml:space="preserve">  hypoattenuating area (hypodense to the brain) above and one hyperattenuating area (hyperdense to the brain) below a clear straight line of separation.</w:t>
            </w:r>
          </w:p>
          <w:p w:rsidR="00C941F7" w:rsidRPr="007C453D" w:rsidRDefault="00C941F7" w:rsidP="00C941F7">
            <w:pPr>
              <w:numPr>
                <w:ilvl w:val="0"/>
                <w:numId w:val="8"/>
              </w:numPr>
              <w:spacing w:before="60" w:after="60" w:line="276" w:lineRule="auto"/>
              <w:rPr>
                <w:sz w:val="20"/>
                <w:szCs w:val="20"/>
                <w:lang w:val="en-US"/>
              </w:rPr>
            </w:pPr>
            <w:r w:rsidRPr="007C453D">
              <w:rPr>
                <w:b/>
                <w:sz w:val="20"/>
                <w:szCs w:val="20"/>
                <w:lang w:val="en-US"/>
              </w:rPr>
              <w:t xml:space="preserve">Irregular Shape: </w:t>
            </w:r>
            <w:r w:rsidRPr="00B4018D">
              <w:rPr>
                <w:sz w:val="20"/>
                <w:szCs w:val="20"/>
                <w:lang w:val="en-US"/>
              </w:rPr>
              <w:t>2 or more focal hematoma margin irregularities, joined or separate from the hematoma edge, evaluated on the axial NCCT slice showing the largest ICH area</w:t>
            </w:r>
            <w:r>
              <w:rPr>
                <w:sz w:val="20"/>
                <w:szCs w:val="20"/>
                <w:lang w:val="en-US"/>
              </w:rPr>
              <w:t>.</w:t>
            </w:r>
          </w:p>
          <w:p w:rsidR="00C941F7" w:rsidRPr="007C453D" w:rsidRDefault="00C941F7" w:rsidP="00C941F7">
            <w:pPr>
              <w:numPr>
                <w:ilvl w:val="0"/>
                <w:numId w:val="8"/>
              </w:numPr>
              <w:spacing w:before="60" w:after="60" w:line="276" w:lineRule="auto"/>
              <w:rPr>
                <w:sz w:val="20"/>
                <w:szCs w:val="20"/>
                <w:lang w:val="en-US"/>
              </w:rPr>
            </w:pPr>
            <w:r w:rsidRPr="007C453D">
              <w:rPr>
                <w:b/>
                <w:sz w:val="20"/>
                <w:szCs w:val="20"/>
                <w:lang w:val="en-US"/>
              </w:rPr>
              <w:t>Island Sign:</w:t>
            </w:r>
            <w:r w:rsidRPr="007C453D">
              <w:rPr>
                <w:sz w:val="20"/>
                <w:szCs w:val="20"/>
                <w:lang w:val="en-US"/>
              </w:rPr>
              <w:t xml:space="preserve"> At least 3scattered small hematomas all separate from the main </w:t>
            </w:r>
            <w:proofErr w:type="gramStart"/>
            <w:r w:rsidRPr="007C453D">
              <w:rPr>
                <w:sz w:val="20"/>
                <w:szCs w:val="20"/>
                <w:lang w:val="en-US"/>
              </w:rPr>
              <w:t>ICH  or</w:t>
            </w:r>
            <w:proofErr w:type="gramEnd"/>
            <w:r w:rsidRPr="007C453D">
              <w:rPr>
                <w:sz w:val="20"/>
                <w:szCs w:val="20"/>
                <w:lang w:val="en-US"/>
              </w:rPr>
              <w:t xml:space="preserve"> at least 4 small hematomas some or all of which may connect with the ICH</w:t>
            </w:r>
          </w:p>
          <w:p w:rsidR="00C941F7" w:rsidRPr="007C453D" w:rsidRDefault="00C941F7" w:rsidP="00C941F7">
            <w:pPr>
              <w:numPr>
                <w:ilvl w:val="0"/>
                <w:numId w:val="8"/>
              </w:numPr>
              <w:spacing w:before="60" w:after="60" w:line="276" w:lineRule="auto"/>
              <w:rPr>
                <w:sz w:val="20"/>
                <w:szCs w:val="20"/>
                <w:lang w:val="en-US"/>
              </w:rPr>
            </w:pPr>
            <w:r w:rsidRPr="007C453D">
              <w:rPr>
                <w:b/>
                <w:sz w:val="20"/>
                <w:szCs w:val="20"/>
                <w:lang w:val="en-US"/>
              </w:rPr>
              <w:t xml:space="preserve">Satellite sign: </w:t>
            </w:r>
            <w:proofErr w:type="gramStart"/>
            <w:r w:rsidRPr="007C453D">
              <w:rPr>
                <w:sz w:val="20"/>
                <w:szCs w:val="20"/>
                <w:lang w:val="en-US"/>
              </w:rPr>
              <w:t>hematoma  with</w:t>
            </w:r>
            <w:proofErr w:type="gramEnd"/>
            <w:r w:rsidRPr="007C453D">
              <w:rPr>
                <w:sz w:val="20"/>
                <w:szCs w:val="20"/>
                <w:lang w:val="en-US"/>
              </w:rPr>
              <w:t xml:space="preserve"> diameter &lt;10 mm,  separate but located within 20 mm from the main hemorrhage.</w:t>
            </w:r>
          </w:p>
        </w:tc>
      </w:tr>
    </w:tbl>
    <w:p w:rsidR="00C941F7" w:rsidRPr="00A97602" w:rsidRDefault="00C941F7" w:rsidP="00C941F7">
      <w:pPr>
        <w:rPr>
          <w:noProof/>
          <w:sz w:val="20"/>
          <w:szCs w:val="20"/>
          <w:lang w:val="en-US" w:eastAsia="it-IT"/>
        </w:rPr>
      </w:pPr>
    </w:p>
    <w:p w:rsidR="00C941F7" w:rsidRPr="00A97602" w:rsidRDefault="00C941F7" w:rsidP="00C941F7">
      <w:pPr>
        <w:rPr>
          <w:noProof/>
          <w:sz w:val="20"/>
          <w:szCs w:val="20"/>
          <w:lang w:val="en-US" w:eastAsia="it-IT"/>
        </w:rPr>
      </w:pPr>
      <w:r w:rsidRPr="00A97602">
        <w:rPr>
          <w:noProof/>
          <w:sz w:val="20"/>
          <w:szCs w:val="20"/>
          <w:lang w:val="en-US" w:eastAsia="it-IT"/>
        </w:rPr>
        <w:t>NCCT indicates non contrast computed tomography; ICH, intracerebral hemorrhage; HU, Hounsfield Unit.</w:t>
      </w:r>
    </w:p>
    <w:p w:rsidR="00C941F7" w:rsidRDefault="00C941F7" w:rsidP="00C941F7">
      <w:pPr>
        <w:rPr>
          <w:b/>
          <w:noProof/>
          <w:sz w:val="20"/>
          <w:szCs w:val="20"/>
          <w:u w:val="single"/>
          <w:lang w:val="en-US" w:eastAsia="it-IT"/>
        </w:rPr>
      </w:pPr>
    </w:p>
    <w:p w:rsidR="00C941F7" w:rsidRDefault="00C941F7" w:rsidP="00C941F7">
      <w:pPr>
        <w:rPr>
          <w:b/>
          <w:noProof/>
          <w:sz w:val="20"/>
          <w:szCs w:val="20"/>
          <w:u w:val="single"/>
          <w:lang w:val="en-US" w:eastAsia="it-IT"/>
        </w:rPr>
      </w:pPr>
    </w:p>
    <w:p w:rsidR="00C941F7" w:rsidRDefault="00C941F7" w:rsidP="00C941F7">
      <w:pPr>
        <w:rPr>
          <w:b/>
          <w:noProof/>
          <w:sz w:val="20"/>
          <w:szCs w:val="20"/>
          <w:u w:val="single"/>
          <w:lang w:val="en-US" w:eastAsia="it-IT"/>
        </w:rPr>
      </w:pPr>
    </w:p>
    <w:p w:rsidR="00C941F7" w:rsidRDefault="00C941F7" w:rsidP="00C941F7">
      <w:pPr>
        <w:rPr>
          <w:b/>
          <w:noProof/>
          <w:sz w:val="20"/>
          <w:szCs w:val="20"/>
          <w:u w:val="single"/>
          <w:lang w:val="en-US" w:eastAsia="it-IT"/>
        </w:rPr>
      </w:pPr>
    </w:p>
    <w:p w:rsidR="00C941F7" w:rsidRDefault="00C941F7" w:rsidP="00C941F7">
      <w:pPr>
        <w:rPr>
          <w:b/>
          <w:noProof/>
          <w:sz w:val="20"/>
          <w:szCs w:val="20"/>
          <w:u w:val="single"/>
          <w:lang w:val="en-US" w:eastAsia="it-IT"/>
        </w:rPr>
      </w:pPr>
    </w:p>
    <w:p w:rsidR="00C941F7" w:rsidRDefault="00C941F7" w:rsidP="00C941F7">
      <w:pPr>
        <w:rPr>
          <w:b/>
          <w:noProof/>
          <w:sz w:val="20"/>
          <w:szCs w:val="20"/>
          <w:u w:val="single"/>
          <w:lang w:val="en-US" w:eastAsia="it-IT"/>
        </w:rPr>
      </w:pPr>
    </w:p>
    <w:p w:rsidR="00C941F7" w:rsidRDefault="00C941F7" w:rsidP="00C941F7">
      <w:pPr>
        <w:rPr>
          <w:b/>
          <w:noProof/>
          <w:sz w:val="20"/>
          <w:szCs w:val="20"/>
          <w:u w:val="single"/>
          <w:lang w:val="en-US" w:eastAsia="it-IT"/>
        </w:rPr>
      </w:pPr>
    </w:p>
    <w:p w:rsidR="00C941F7" w:rsidRDefault="00C941F7" w:rsidP="00C941F7">
      <w:pPr>
        <w:rPr>
          <w:b/>
          <w:noProof/>
          <w:sz w:val="20"/>
          <w:szCs w:val="20"/>
          <w:u w:val="single"/>
          <w:lang w:val="en-US" w:eastAsia="it-IT"/>
        </w:rPr>
      </w:pPr>
    </w:p>
    <w:p w:rsidR="00C941F7" w:rsidRDefault="00C941F7" w:rsidP="00C941F7">
      <w:pPr>
        <w:rPr>
          <w:b/>
          <w:noProof/>
          <w:sz w:val="20"/>
          <w:szCs w:val="20"/>
          <w:u w:val="single"/>
          <w:lang w:val="en-US" w:eastAsia="it-IT"/>
        </w:rPr>
      </w:pPr>
    </w:p>
    <w:p w:rsidR="00C941F7" w:rsidRDefault="00C941F7" w:rsidP="00C941F7">
      <w:pPr>
        <w:rPr>
          <w:b/>
          <w:noProof/>
          <w:sz w:val="20"/>
          <w:szCs w:val="20"/>
          <w:u w:val="single"/>
          <w:lang w:val="en-US" w:eastAsia="it-IT"/>
        </w:rPr>
      </w:pPr>
    </w:p>
    <w:p w:rsidR="00C941F7" w:rsidRDefault="00C941F7" w:rsidP="00C941F7">
      <w:pPr>
        <w:rPr>
          <w:b/>
          <w:noProof/>
          <w:sz w:val="20"/>
          <w:szCs w:val="20"/>
          <w:u w:val="single"/>
          <w:lang w:val="en-US" w:eastAsia="it-IT"/>
        </w:rPr>
      </w:pPr>
      <w:r w:rsidRPr="00341719">
        <w:rPr>
          <w:b/>
          <w:color w:val="000000" w:themeColor="text1"/>
          <w:sz w:val="20"/>
          <w:szCs w:val="20"/>
          <w:lang w:val="en-US"/>
        </w:rPr>
        <w:t xml:space="preserve">Table </w:t>
      </w:r>
      <w:r>
        <w:rPr>
          <w:b/>
          <w:color w:val="000000" w:themeColor="text1"/>
          <w:sz w:val="20"/>
          <w:szCs w:val="20"/>
          <w:lang w:val="en-US"/>
        </w:rPr>
        <w:t>3.</w:t>
      </w:r>
      <w:r>
        <w:rPr>
          <w:color w:val="000000" w:themeColor="text1"/>
          <w:sz w:val="20"/>
          <w:szCs w:val="20"/>
          <w:lang w:val="en-US"/>
        </w:rPr>
        <w:t xml:space="preserve"> </w:t>
      </w:r>
      <w:r w:rsidRPr="00341719">
        <w:rPr>
          <w:color w:val="000000" w:themeColor="text1"/>
          <w:sz w:val="20"/>
          <w:szCs w:val="20"/>
          <w:lang w:val="en-US"/>
        </w:rPr>
        <w:t>NCCT ICH features in training cases</w:t>
      </w:r>
    </w:p>
    <w:tbl>
      <w:tblPr>
        <w:tblStyle w:val="TableGrid"/>
        <w:tblW w:w="101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26"/>
        <w:gridCol w:w="142"/>
        <w:gridCol w:w="992"/>
        <w:gridCol w:w="142"/>
        <w:gridCol w:w="283"/>
        <w:gridCol w:w="355"/>
        <w:gridCol w:w="496"/>
        <w:gridCol w:w="141"/>
        <w:gridCol w:w="479"/>
        <w:gridCol w:w="372"/>
        <w:gridCol w:w="486"/>
        <w:gridCol w:w="223"/>
        <w:gridCol w:w="141"/>
        <w:gridCol w:w="486"/>
        <w:gridCol w:w="223"/>
        <w:gridCol w:w="142"/>
        <w:gridCol w:w="624"/>
        <w:gridCol w:w="226"/>
        <w:gridCol w:w="1144"/>
        <w:gridCol w:w="1501"/>
      </w:tblGrid>
      <w:tr w:rsidR="00C941F7" w:rsidTr="00D10CED">
        <w:tc>
          <w:tcPr>
            <w:tcW w:w="10124" w:type="dxa"/>
            <w:gridSpan w:val="20"/>
            <w:shd w:val="pct15" w:color="auto" w:fill="auto"/>
            <w:vAlign w:val="center"/>
          </w:tcPr>
          <w:p w:rsidR="00C941F7" w:rsidRPr="001A2F73" w:rsidRDefault="00C941F7" w:rsidP="00D10CED">
            <w:pPr>
              <w:spacing w:after="0"/>
              <w:rPr>
                <w:b/>
                <w:noProof/>
                <w:sz w:val="20"/>
                <w:szCs w:val="20"/>
                <w:lang w:val="en-US" w:eastAsia="it-IT"/>
              </w:rPr>
            </w:pPr>
            <w:r>
              <w:rPr>
                <w:b/>
                <w:noProof/>
                <w:sz w:val="20"/>
                <w:szCs w:val="20"/>
                <w:lang w:val="en-US" w:eastAsia="it-IT"/>
              </w:rPr>
              <w:t>TRAINING CASE 1</w:t>
            </w:r>
          </w:p>
        </w:tc>
      </w:tr>
      <w:tr w:rsidR="00C941F7" w:rsidTr="00D10CED">
        <w:tc>
          <w:tcPr>
            <w:tcW w:w="10124" w:type="dxa"/>
            <w:gridSpan w:val="20"/>
          </w:tcPr>
          <w:p w:rsidR="00C941F7" w:rsidRDefault="00C941F7" w:rsidP="00D10CED">
            <w:pPr>
              <w:spacing w:before="60" w:after="60"/>
              <w:rPr>
                <w:b/>
                <w:noProof/>
                <w:sz w:val="20"/>
                <w:szCs w:val="20"/>
                <w:u w:val="single"/>
                <w:lang w:val="en-US" w:eastAsia="it-IT"/>
              </w:rPr>
            </w:pPr>
            <w:r w:rsidRPr="007C453D">
              <w:rPr>
                <w:noProof/>
                <w:sz w:val="20"/>
                <w:szCs w:val="20"/>
                <w:lang w:val="en-US"/>
              </w:rPr>
              <w:drawing>
                <wp:inline distT="0" distB="0" distL="0" distR="0" wp14:anchorId="57552B1C" wp14:editId="7963AE14">
                  <wp:extent cx="6118860" cy="3035300"/>
                  <wp:effectExtent l="0" t="0" r="0" b="0"/>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8860" cy="3035300"/>
                          </a:xfrm>
                          <a:prstGeom prst="rect">
                            <a:avLst/>
                          </a:prstGeom>
                          <a:noFill/>
                          <a:ln>
                            <a:noFill/>
                          </a:ln>
                        </pic:spPr>
                      </pic:pic>
                    </a:graphicData>
                  </a:graphic>
                </wp:inline>
              </w:drawing>
            </w:r>
          </w:p>
        </w:tc>
      </w:tr>
      <w:tr w:rsidR="00C941F7" w:rsidTr="00D10CED">
        <w:tc>
          <w:tcPr>
            <w:tcW w:w="1526"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Hypodensities</w:t>
            </w:r>
          </w:p>
        </w:tc>
        <w:tc>
          <w:tcPr>
            <w:tcW w:w="1134" w:type="dxa"/>
            <w:gridSpan w:val="2"/>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Black Hole Sign</w:t>
            </w:r>
          </w:p>
        </w:tc>
        <w:tc>
          <w:tcPr>
            <w:tcW w:w="780"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Swirl</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1116"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Satellite</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8"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Island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0"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Fluid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Level</w:t>
            </w:r>
          </w:p>
        </w:tc>
        <w:tc>
          <w:tcPr>
            <w:tcW w:w="989"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Blend</w:t>
            </w:r>
          </w:p>
          <w:p w:rsidR="00C941F7" w:rsidRPr="00A56E9C" w:rsidRDefault="00C941F7" w:rsidP="00D10CED">
            <w:pPr>
              <w:spacing w:after="0" w:line="240" w:lineRule="auto"/>
              <w:rPr>
                <w:b/>
                <w:noProof/>
                <w:sz w:val="18"/>
                <w:szCs w:val="18"/>
                <w:u w:val="single"/>
                <w:lang w:val="en-US" w:eastAsia="it-IT"/>
              </w:rPr>
            </w:pPr>
            <w:r w:rsidRPr="00A56E9C">
              <w:rPr>
                <w:b/>
                <w:sz w:val="18"/>
                <w:szCs w:val="18"/>
              </w:rPr>
              <w:t>Sign</w:t>
            </w:r>
          </w:p>
        </w:tc>
        <w:tc>
          <w:tcPr>
            <w:tcW w:w="1370" w:type="dxa"/>
            <w:gridSpan w:val="2"/>
          </w:tcPr>
          <w:p w:rsidR="00C941F7" w:rsidRPr="00A56E9C" w:rsidRDefault="00C941F7" w:rsidP="00D10CED">
            <w:pPr>
              <w:spacing w:after="0" w:line="240" w:lineRule="auto"/>
              <w:rPr>
                <w:b/>
                <w:noProof/>
                <w:sz w:val="18"/>
                <w:szCs w:val="18"/>
                <w:u w:val="single"/>
                <w:lang w:val="en-US" w:eastAsia="it-IT"/>
              </w:rPr>
            </w:pPr>
            <w:r w:rsidRPr="00A56E9C">
              <w:rPr>
                <w:b/>
                <w:sz w:val="18"/>
                <w:szCs w:val="18"/>
              </w:rPr>
              <w:t>Irregular Shape</w:t>
            </w:r>
          </w:p>
        </w:tc>
        <w:tc>
          <w:tcPr>
            <w:tcW w:w="1501"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rPr>
              <w:t>Heterogeneous Density</w:t>
            </w:r>
          </w:p>
        </w:tc>
      </w:tr>
      <w:tr w:rsidR="00C941F7" w:rsidTr="00D10CED">
        <w:tc>
          <w:tcPr>
            <w:tcW w:w="1526" w:type="dxa"/>
            <w:tcBorders>
              <w:bottom w:val="single" w:sz="12" w:space="0" w:color="auto"/>
            </w:tcBorders>
          </w:tcPr>
          <w:p w:rsidR="00C941F7" w:rsidRPr="00A56E9C" w:rsidRDefault="00C941F7" w:rsidP="00D10CED">
            <w:pPr>
              <w:spacing w:after="0" w:line="240" w:lineRule="auto"/>
              <w:rPr>
                <w:b/>
                <w:sz w:val="18"/>
                <w:szCs w:val="18"/>
              </w:rPr>
            </w:pPr>
            <w:r w:rsidRPr="00A56E9C">
              <w:rPr>
                <w:b/>
                <w:sz w:val="18"/>
                <w:szCs w:val="18"/>
                <w:u w:val="single"/>
              </w:rPr>
              <w:t>P</w:t>
            </w:r>
            <w:r w:rsidRPr="00A56E9C">
              <w:rPr>
                <w:b/>
                <w:sz w:val="18"/>
                <w:szCs w:val="18"/>
              </w:rPr>
              <w:t xml:space="preserve"> </w:t>
            </w:r>
            <w:r w:rsidRPr="00A56E9C">
              <w:rPr>
                <w:sz w:val="18"/>
                <w:szCs w:val="18"/>
              </w:rPr>
              <w:t>B2 – B3</w:t>
            </w:r>
          </w:p>
        </w:tc>
        <w:tc>
          <w:tcPr>
            <w:tcW w:w="1134" w:type="dxa"/>
            <w:gridSpan w:val="2"/>
            <w:tcBorders>
              <w:bottom w:val="single" w:sz="12" w:space="0" w:color="auto"/>
            </w:tcBorders>
          </w:tcPr>
          <w:p w:rsidR="00C941F7" w:rsidRPr="00A56E9C" w:rsidRDefault="00C941F7" w:rsidP="00D10CED">
            <w:pPr>
              <w:spacing w:after="0" w:line="240" w:lineRule="auto"/>
              <w:rPr>
                <w:sz w:val="18"/>
                <w:szCs w:val="18"/>
              </w:rPr>
            </w:pPr>
            <w:r w:rsidRPr="00A56E9C">
              <w:rPr>
                <w:b/>
                <w:sz w:val="18"/>
                <w:szCs w:val="18"/>
                <w:u w:val="single"/>
              </w:rPr>
              <w:t>P</w:t>
            </w:r>
            <w:r w:rsidRPr="00A56E9C">
              <w:rPr>
                <w:sz w:val="18"/>
                <w:szCs w:val="18"/>
              </w:rPr>
              <w:t xml:space="preserve"> B3</w:t>
            </w:r>
          </w:p>
        </w:tc>
        <w:tc>
          <w:tcPr>
            <w:tcW w:w="780" w:type="dxa"/>
            <w:gridSpan w:val="3"/>
            <w:tcBorders>
              <w:bottom w:val="single" w:sz="12" w:space="0" w:color="auto"/>
            </w:tcBorders>
          </w:tcPr>
          <w:p w:rsidR="00C941F7" w:rsidRPr="00A56E9C" w:rsidRDefault="00C941F7" w:rsidP="00D10CED">
            <w:pPr>
              <w:spacing w:after="0" w:line="240" w:lineRule="auto"/>
              <w:rPr>
                <w:sz w:val="18"/>
                <w:szCs w:val="18"/>
              </w:rPr>
            </w:pPr>
            <w:r w:rsidRPr="00A56E9C">
              <w:rPr>
                <w:b/>
                <w:sz w:val="18"/>
                <w:szCs w:val="18"/>
                <w:u w:val="single"/>
              </w:rPr>
              <w:t>P</w:t>
            </w:r>
            <w:r w:rsidRPr="00A56E9C">
              <w:rPr>
                <w:sz w:val="18"/>
                <w:szCs w:val="18"/>
              </w:rPr>
              <w:t xml:space="preserve"> B1–B2–B3</w:t>
            </w:r>
          </w:p>
        </w:tc>
        <w:tc>
          <w:tcPr>
            <w:tcW w:w="1116" w:type="dxa"/>
            <w:gridSpan w:val="3"/>
            <w:tcBorders>
              <w:bottom w:val="single" w:sz="12" w:space="0" w:color="auto"/>
            </w:tcBorders>
          </w:tcPr>
          <w:p w:rsidR="00C941F7" w:rsidRPr="00A56E9C" w:rsidRDefault="00C941F7" w:rsidP="00D10CED">
            <w:pPr>
              <w:spacing w:after="0" w:line="240" w:lineRule="auto"/>
              <w:rPr>
                <w:sz w:val="18"/>
                <w:szCs w:val="18"/>
              </w:rPr>
            </w:pPr>
            <w:r w:rsidRPr="00A56E9C">
              <w:rPr>
                <w:b/>
                <w:sz w:val="18"/>
                <w:szCs w:val="18"/>
                <w:u w:val="single"/>
              </w:rPr>
              <w:t>P</w:t>
            </w:r>
            <w:r w:rsidRPr="00A56E9C">
              <w:rPr>
                <w:sz w:val="18"/>
                <w:szCs w:val="18"/>
              </w:rPr>
              <w:t xml:space="preserve"> A1</w:t>
            </w:r>
          </w:p>
        </w:tc>
        <w:tc>
          <w:tcPr>
            <w:tcW w:w="858" w:type="dxa"/>
            <w:gridSpan w:val="2"/>
            <w:tcBorders>
              <w:bottom w:val="single" w:sz="12" w:space="0" w:color="auto"/>
            </w:tcBorders>
          </w:tcPr>
          <w:p w:rsidR="00C941F7" w:rsidRPr="00A56E9C" w:rsidRDefault="00C941F7" w:rsidP="00D10CED">
            <w:pPr>
              <w:spacing w:after="0" w:line="240" w:lineRule="auto"/>
              <w:rPr>
                <w:b/>
                <w:sz w:val="18"/>
                <w:szCs w:val="18"/>
                <w:u w:val="single"/>
              </w:rPr>
            </w:pPr>
            <w:r w:rsidRPr="00A56E9C">
              <w:rPr>
                <w:b/>
                <w:sz w:val="18"/>
                <w:szCs w:val="18"/>
                <w:u w:val="single"/>
              </w:rPr>
              <w:t>N</w:t>
            </w:r>
          </w:p>
        </w:tc>
        <w:tc>
          <w:tcPr>
            <w:tcW w:w="850" w:type="dxa"/>
            <w:gridSpan w:val="3"/>
            <w:tcBorders>
              <w:bottom w:val="single" w:sz="12" w:space="0" w:color="auto"/>
            </w:tcBorders>
          </w:tcPr>
          <w:p w:rsidR="00C941F7" w:rsidRPr="00A56E9C" w:rsidRDefault="00C941F7" w:rsidP="00D10CED">
            <w:pPr>
              <w:spacing w:after="0" w:line="240" w:lineRule="auto"/>
              <w:rPr>
                <w:b/>
                <w:sz w:val="18"/>
                <w:szCs w:val="18"/>
                <w:u w:val="single"/>
              </w:rPr>
            </w:pPr>
            <w:r w:rsidRPr="00A56E9C">
              <w:rPr>
                <w:b/>
                <w:sz w:val="18"/>
                <w:szCs w:val="18"/>
                <w:u w:val="single"/>
              </w:rPr>
              <w:t>N</w:t>
            </w:r>
          </w:p>
        </w:tc>
        <w:tc>
          <w:tcPr>
            <w:tcW w:w="989" w:type="dxa"/>
            <w:gridSpan w:val="3"/>
            <w:tcBorders>
              <w:bottom w:val="single" w:sz="12" w:space="0" w:color="auto"/>
            </w:tcBorders>
          </w:tcPr>
          <w:p w:rsidR="00C941F7" w:rsidRPr="00A56E9C" w:rsidRDefault="00C941F7" w:rsidP="00D10CED">
            <w:pPr>
              <w:spacing w:after="0" w:line="240" w:lineRule="auto"/>
              <w:rPr>
                <w:b/>
                <w:sz w:val="18"/>
                <w:szCs w:val="18"/>
                <w:u w:val="single"/>
              </w:rPr>
            </w:pPr>
            <w:r w:rsidRPr="00A56E9C">
              <w:rPr>
                <w:b/>
                <w:sz w:val="18"/>
                <w:szCs w:val="18"/>
                <w:u w:val="single"/>
              </w:rPr>
              <w:t>N</w:t>
            </w:r>
          </w:p>
        </w:tc>
        <w:tc>
          <w:tcPr>
            <w:tcW w:w="1370" w:type="dxa"/>
            <w:gridSpan w:val="2"/>
            <w:tcBorders>
              <w:bottom w:val="single" w:sz="12" w:space="0" w:color="auto"/>
            </w:tcBorders>
          </w:tcPr>
          <w:p w:rsidR="00C941F7" w:rsidRPr="00A56E9C" w:rsidRDefault="00C941F7" w:rsidP="00D10CED">
            <w:pPr>
              <w:spacing w:after="0" w:line="240" w:lineRule="auto"/>
              <w:rPr>
                <w:b/>
                <w:sz w:val="18"/>
                <w:szCs w:val="18"/>
                <w:u w:val="single"/>
              </w:rPr>
            </w:pPr>
            <w:r w:rsidRPr="00A56E9C">
              <w:rPr>
                <w:b/>
                <w:sz w:val="18"/>
                <w:szCs w:val="18"/>
                <w:u w:val="single"/>
              </w:rPr>
              <w:t>IV</w:t>
            </w:r>
          </w:p>
        </w:tc>
        <w:tc>
          <w:tcPr>
            <w:tcW w:w="1501" w:type="dxa"/>
            <w:tcBorders>
              <w:bottom w:val="single" w:sz="12" w:space="0" w:color="auto"/>
            </w:tcBorders>
          </w:tcPr>
          <w:p w:rsidR="00C941F7" w:rsidRPr="00A56E9C" w:rsidRDefault="00C941F7" w:rsidP="00D10CED">
            <w:pPr>
              <w:spacing w:after="0" w:line="240" w:lineRule="auto"/>
              <w:rPr>
                <w:b/>
                <w:sz w:val="18"/>
                <w:szCs w:val="18"/>
                <w:u w:val="single"/>
              </w:rPr>
            </w:pPr>
            <w:r w:rsidRPr="00A56E9C">
              <w:rPr>
                <w:b/>
                <w:sz w:val="18"/>
                <w:szCs w:val="18"/>
                <w:u w:val="single"/>
              </w:rPr>
              <w:t>IV</w:t>
            </w:r>
          </w:p>
        </w:tc>
      </w:tr>
      <w:tr w:rsidR="00C941F7" w:rsidTr="00D10CED">
        <w:trPr>
          <w:trHeight w:val="64"/>
        </w:trPr>
        <w:tc>
          <w:tcPr>
            <w:tcW w:w="10124" w:type="dxa"/>
            <w:gridSpan w:val="20"/>
            <w:tcBorders>
              <w:top w:val="single" w:sz="12" w:space="0" w:color="auto"/>
              <w:bottom w:val="single" w:sz="6" w:space="0" w:color="auto"/>
            </w:tcBorders>
            <w:shd w:val="pct15" w:color="auto" w:fill="auto"/>
          </w:tcPr>
          <w:p w:rsidR="00C941F7" w:rsidRDefault="00C941F7" w:rsidP="00D10CED">
            <w:pPr>
              <w:spacing w:after="0"/>
              <w:rPr>
                <w:b/>
                <w:noProof/>
                <w:sz w:val="20"/>
                <w:szCs w:val="20"/>
                <w:u w:val="single"/>
                <w:lang w:val="en-US" w:eastAsia="it-IT"/>
              </w:rPr>
            </w:pPr>
            <w:r>
              <w:rPr>
                <w:b/>
                <w:noProof/>
                <w:sz w:val="20"/>
                <w:szCs w:val="20"/>
                <w:lang w:val="en-US" w:eastAsia="it-IT"/>
              </w:rPr>
              <w:t>TRAINING CASE 2</w:t>
            </w:r>
          </w:p>
        </w:tc>
      </w:tr>
      <w:tr w:rsidR="00C941F7" w:rsidTr="00D10CED">
        <w:tc>
          <w:tcPr>
            <w:tcW w:w="10124" w:type="dxa"/>
            <w:gridSpan w:val="20"/>
            <w:tcBorders>
              <w:top w:val="single" w:sz="6" w:space="0" w:color="auto"/>
            </w:tcBorders>
          </w:tcPr>
          <w:p w:rsidR="00C941F7" w:rsidRDefault="00C941F7" w:rsidP="00D10CED">
            <w:pPr>
              <w:spacing w:before="60" w:after="60"/>
              <w:jc w:val="center"/>
              <w:rPr>
                <w:b/>
                <w:noProof/>
                <w:sz w:val="20"/>
                <w:szCs w:val="20"/>
                <w:lang w:val="en-US" w:eastAsia="it-IT"/>
              </w:rPr>
            </w:pPr>
            <w:r w:rsidRPr="007C453D">
              <w:rPr>
                <w:noProof/>
                <w:sz w:val="20"/>
                <w:szCs w:val="20"/>
                <w:lang w:val="en-US"/>
              </w:rPr>
              <w:lastRenderedPageBreak/>
              <w:drawing>
                <wp:inline distT="0" distB="0" distL="0" distR="0" wp14:anchorId="001A3E77" wp14:editId="09DAFED3">
                  <wp:extent cx="2988000" cy="33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8000" cy="3348000"/>
                          </a:xfrm>
                          <a:prstGeom prst="rect">
                            <a:avLst/>
                          </a:prstGeom>
                          <a:noFill/>
                          <a:ln>
                            <a:noFill/>
                          </a:ln>
                        </pic:spPr>
                      </pic:pic>
                    </a:graphicData>
                  </a:graphic>
                </wp:inline>
              </w:drawing>
            </w:r>
          </w:p>
        </w:tc>
      </w:tr>
      <w:tr w:rsidR="00C941F7" w:rsidRPr="001A2F73" w:rsidTr="00D10CED">
        <w:tc>
          <w:tcPr>
            <w:tcW w:w="1526"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Hypodensities</w:t>
            </w:r>
          </w:p>
        </w:tc>
        <w:tc>
          <w:tcPr>
            <w:tcW w:w="1134" w:type="dxa"/>
            <w:gridSpan w:val="2"/>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Black Hole Sign</w:t>
            </w:r>
          </w:p>
        </w:tc>
        <w:tc>
          <w:tcPr>
            <w:tcW w:w="780"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Swirl</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1116"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Satellite</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8"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Island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0"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Fluid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Level</w:t>
            </w:r>
          </w:p>
        </w:tc>
        <w:tc>
          <w:tcPr>
            <w:tcW w:w="989"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Blend</w:t>
            </w:r>
          </w:p>
          <w:p w:rsidR="00C941F7" w:rsidRPr="00A56E9C" w:rsidRDefault="00C941F7" w:rsidP="00D10CED">
            <w:pPr>
              <w:spacing w:after="0" w:line="240" w:lineRule="auto"/>
              <w:rPr>
                <w:b/>
                <w:noProof/>
                <w:sz w:val="18"/>
                <w:szCs w:val="18"/>
                <w:u w:val="single"/>
                <w:lang w:val="en-US" w:eastAsia="it-IT"/>
              </w:rPr>
            </w:pPr>
            <w:r w:rsidRPr="00A56E9C">
              <w:rPr>
                <w:b/>
                <w:sz w:val="18"/>
                <w:szCs w:val="18"/>
              </w:rPr>
              <w:t>Sign</w:t>
            </w:r>
          </w:p>
        </w:tc>
        <w:tc>
          <w:tcPr>
            <w:tcW w:w="1370" w:type="dxa"/>
            <w:gridSpan w:val="2"/>
          </w:tcPr>
          <w:p w:rsidR="00C941F7" w:rsidRPr="00A56E9C" w:rsidRDefault="00C941F7" w:rsidP="00D10CED">
            <w:pPr>
              <w:spacing w:after="0" w:line="240" w:lineRule="auto"/>
              <w:rPr>
                <w:b/>
                <w:noProof/>
                <w:sz w:val="18"/>
                <w:szCs w:val="18"/>
                <w:u w:val="single"/>
                <w:lang w:val="en-US" w:eastAsia="it-IT"/>
              </w:rPr>
            </w:pPr>
            <w:r w:rsidRPr="00A56E9C">
              <w:rPr>
                <w:b/>
                <w:sz w:val="18"/>
                <w:szCs w:val="18"/>
              </w:rPr>
              <w:t>Irregular Shape</w:t>
            </w:r>
          </w:p>
        </w:tc>
        <w:tc>
          <w:tcPr>
            <w:tcW w:w="1501"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rPr>
              <w:t>Heterogeneous Density</w:t>
            </w:r>
          </w:p>
        </w:tc>
      </w:tr>
      <w:tr w:rsidR="00C941F7" w:rsidTr="00D10CED">
        <w:tc>
          <w:tcPr>
            <w:tcW w:w="1526" w:type="dxa"/>
          </w:tcPr>
          <w:p w:rsidR="00C941F7" w:rsidRPr="00A56E9C" w:rsidRDefault="00C941F7" w:rsidP="00D10CED">
            <w:pPr>
              <w:spacing w:after="40" w:line="240" w:lineRule="auto"/>
              <w:rPr>
                <w:b/>
                <w:sz w:val="18"/>
                <w:szCs w:val="18"/>
                <w:u w:val="single"/>
              </w:rPr>
            </w:pPr>
            <w:r w:rsidRPr="00A56E9C">
              <w:rPr>
                <w:b/>
                <w:sz w:val="18"/>
                <w:szCs w:val="18"/>
                <w:u w:val="single"/>
              </w:rPr>
              <w:t>N</w:t>
            </w:r>
          </w:p>
        </w:tc>
        <w:tc>
          <w:tcPr>
            <w:tcW w:w="1134" w:type="dxa"/>
            <w:gridSpan w:val="2"/>
          </w:tcPr>
          <w:p w:rsidR="00C941F7" w:rsidRPr="00A56E9C" w:rsidRDefault="00C941F7" w:rsidP="00D10CED">
            <w:pPr>
              <w:spacing w:after="40" w:line="240" w:lineRule="auto"/>
              <w:rPr>
                <w:sz w:val="18"/>
                <w:szCs w:val="18"/>
                <w:u w:val="single"/>
              </w:rPr>
            </w:pPr>
            <w:r w:rsidRPr="00A56E9C">
              <w:rPr>
                <w:b/>
                <w:sz w:val="18"/>
                <w:szCs w:val="18"/>
                <w:u w:val="single"/>
              </w:rPr>
              <w:t>N</w:t>
            </w:r>
          </w:p>
        </w:tc>
        <w:tc>
          <w:tcPr>
            <w:tcW w:w="780" w:type="dxa"/>
            <w:gridSpan w:val="3"/>
          </w:tcPr>
          <w:p w:rsidR="00C941F7" w:rsidRPr="00A56E9C" w:rsidRDefault="00C941F7" w:rsidP="00D10CED">
            <w:pPr>
              <w:spacing w:after="40" w:line="240" w:lineRule="auto"/>
              <w:rPr>
                <w:sz w:val="18"/>
                <w:szCs w:val="18"/>
                <w:u w:val="single"/>
              </w:rPr>
            </w:pPr>
            <w:r w:rsidRPr="00A56E9C">
              <w:rPr>
                <w:b/>
                <w:sz w:val="18"/>
                <w:szCs w:val="18"/>
                <w:u w:val="single"/>
              </w:rPr>
              <w:t>N</w:t>
            </w:r>
          </w:p>
        </w:tc>
        <w:tc>
          <w:tcPr>
            <w:tcW w:w="1116" w:type="dxa"/>
            <w:gridSpan w:val="3"/>
          </w:tcPr>
          <w:p w:rsidR="00C941F7" w:rsidRPr="00A56E9C" w:rsidRDefault="00C941F7" w:rsidP="00D10CED">
            <w:pPr>
              <w:spacing w:after="40" w:line="240" w:lineRule="auto"/>
              <w:rPr>
                <w:sz w:val="18"/>
                <w:szCs w:val="18"/>
                <w:u w:val="single"/>
              </w:rPr>
            </w:pPr>
            <w:r w:rsidRPr="00A56E9C">
              <w:rPr>
                <w:b/>
                <w:sz w:val="18"/>
                <w:szCs w:val="18"/>
                <w:u w:val="single"/>
              </w:rPr>
              <w:t>N</w:t>
            </w:r>
          </w:p>
        </w:tc>
        <w:tc>
          <w:tcPr>
            <w:tcW w:w="858" w:type="dxa"/>
            <w:gridSpan w:val="2"/>
          </w:tcPr>
          <w:p w:rsidR="00C941F7" w:rsidRPr="00A56E9C" w:rsidRDefault="00C941F7" w:rsidP="00D10CED">
            <w:pPr>
              <w:spacing w:after="40" w:line="240" w:lineRule="auto"/>
              <w:rPr>
                <w:sz w:val="18"/>
                <w:szCs w:val="18"/>
                <w:u w:val="single"/>
              </w:rPr>
            </w:pPr>
            <w:r w:rsidRPr="00A56E9C">
              <w:rPr>
                <w:b/>
                <w:sz w:val="18"/>
                <w:szCs w:val="18"/>
                <w:u w:val="single"/>
              </w:rPr>
              <w:t>N</w:t>
            </w:r>
          </w:p>
        </w:tc>
        <w:tc>
          <w:tcPr>
            <w:tcW w:w="850" w:type="dxa"/>
            <w:gridSpan w:val="3"/>
          </w:tcPr>
          <w:p w:rsidR="00C941F7" w:rsidRPr="00A56E9C" w:rsidRDefault="00C941F7" w:rsidP="00D10CED">
            <w:pPr>
              <w:spacing w:after="40" w:line="240" w:lineRule="auto"/>
              <w:rPr>
                <w:sz w:val="18"/>
                <w:szCs w:val="18"/>
                <w:u w:val="single"/>
              </w:rPr>
            </w:pPr>
            <w:r w:rsidRPr="00A56E9C">
              <w:rPr>
                <w:b/>
                <w:sz w:val="18"/>
                <w:szCs w:val="18"/>
                <w:u w:val="single"/>
              </w:rPr>
              <w:t>N</w:t>
            </w:r>
          </w:p>
        </w:tc>
        <w:tc>
          <w:tcPr>
            <w:tcW w:w="989" w:type="dxa"/>
            <w:gridSpan w:val="3"/>
          </w:tcPr>
          <w:p w:rsidR="00C941F7" w:rsidRPr="00A56E9C" w:rsidRDefault="00C941F7" w:rsidP="00D10CED">
            <w:pPr>
              <w:spacing w:after="40" w:line="240" w:lineRule="auto"/>
              <w:rPr>
                <w:sz w:val="18"/>
                <w:szCs w:val="18"/>
                <w:u w:val="single"/>
              </w:rPr>
            </w:pPr>
            <w:r w:rsidRPr="00A56E9C">
              <w:rPr>
                <w:b/>
                <w:sz w:val="18"/>
                <w:szCs w:val="18"/>
                <w:u w:val="single"/>
              </w:rPr>
              <w:t>N</w:t>
            </w:r>
          </w:p>
        </w:tc>
        <w:tc>
          <w:tcPr>
            <w:tcW w:w="1370" w:type="dxa"/>
            <w:gridSpan w:val="2"/>
          </w:tcPr>
          <w:p w:rsidR="00C941F7" w:rsidRPr="00A56E9C" w:rsidRDefault="00C941F7" w:rsidP="00D10CED">
            <w:pPr>
              <w:spacing w:after="40" w:line="240" w:lineRule="auto"/>
              <w:rPr>
                <w:b/>
                <w:sz w:val="18"/>
                <w:szCs w:val="18"/>
                <w:u w:val="single"/>
              </w:rPr>
            </w:pPr>
            <w:r w:rsidRPr="00A56E9C">
              <w:rPr>
                <w:b/>
                <w:sz w:val="18"/>
                <w:szCs w:val="18"/>
                <w:u w:val="single"/>
              </w:rPr>
              <w:t>I</w:t>
            </w:r>
          </w:p>
        </w:tc>
        <w:tc>
          <w:tcPr>
            <w:tcW w:w="1501" w:type="dxa"/>
          </w:tcPr>
          <w:p w:rsidR="00C941F7" w:rsidRPr="00A56E9C" w:rsidRDefault="00C941F7" w:rsidP="00D10CED">
            <w:pPr>
              <w:spacing w:after="40" w:line="240" w:lineRule="auto"/>
              <w:rPr>
                <w:b/>
                <w:sz w:val="18"/>
                <w:szCs w:val="18"/>
                <w:u w:val="single"/>
              </w:rPr>
            </w:pPr>
            <w:r w:rsidRPr="00A56E9C">
              <w:rPr>
                <w:b/>
                <w:sz w:val="18"/>
                <w:szCs w:val="18"/>
                <w:u w:val="single"/>
              </w:rPr>
              <w:t>I</w:t>
            </w:r>
          </w:p>
        </w:tc>
      </w:tr>
      <w:tr w:rsidR="00C941F7" w:rsidTr="00D10CED">
        <w:tc>
          <w:tcPr>
            <w:tcW w:w="10124" w:type="dxa"/>
            <w:gridSpan w:val="20"/>
            <w:tcBorders>
              <w:top w:val="single" w:sz="12" w:space="0" w:color="auto"/>
            </w:tcBorders>
            <w:shd w:val="pct15" w:color="auto" w:fill="auto"/>
            <w:vAlign w:val="center"/>
          </w:tcPr>
          <w:p w:rsidR="00C941F7" w:rsidRPr="001A2F73" w:rsidRDefault="00C941F7" w:rsidP="00D10CED">
            <w:pPr>
              <w:spacing w:after="0"/>
              <w:rPr>
                <w:b/>
                <w:noProof/>
                <w:sz w:val="20"/>
                <w:szCs w:val="20"/>
                <w:lang w:val="en-US" w:eastAsia="it-IT"/>
              </w:rPr>
            </w:pPr>
            <w:r>
              <w:rPr>
                <w:b/>
                <w:noProof/>
                <w:sz w:val="20"/>
                <w:szCs w:val="20"/>
                <w:lang w:val="en-US" w:eastAsia="it-IT"/>
              </w:rPr>
              <w:t>TRAINING CASE 3</w:t>
            </w:r>
          </w:p>
        </w:tc>
      </w:tr>
      <w:tr w:rsidR="00C941F7" w:rsidTr="00D10CED">
        <w:tc>
          <w:tcPr>
            <w:tcW w:w="10124" w:type="dxa"/>
            <w:gridSpan w:val="20"/>
          </w:tcPr>
          <w:p w:rsidR="00C941F7" w:rsidRDefault="00C941F7" w:rsidP="00D10CED">
            <w:pPr>
              <w:spacing w:before="60" w:after="60"/>
              <w:jc w:val="center"/>
              <w:rPr>
                <w:b/>
                <w:noProof/>
                <w:sz w:val="20"/>
                <w:szCs w:val="20"/>
                <w:u w:val="single"/>
                <w:lang w:val="en-US" w:eastAsia="it-IT"/>
              </w:rPr>
            </w:pPr>
            <w:r w:rsidRPr="007C453D">
              <w:rPr>
                <w:noProof/>
                <w:sz w:val="20"/>
                <w:szCs w:val="20"/>
                <w:lang w:val="en-US"/>
              </w:rPr>
              <w:drawing>
                <wp:inline distT="0" distB="0" distL="0" distR="0" wp14:anchorId="316EA2D8" wp14:editId="7C6A178A">
                  <wp:extent cx="6118860" cy="287909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8860" cy="2879090"/>
                          </a:xfrm>
                          <a:prstGeom prst="rect">
                            <a:avLst/>
                          </a:prstGeom>
                          <a:noFill/>
                          <a:ln>
                            <a:noFill/>
                          </a:ln>
                        </pic:spPr>
                      </pic:pic>
                    </a:graphicData>
                  </a:graphic>
                </wp:inline>
              </w:drawing>
            </w:r>
          </w:p>
        </w:tc>
      </w:tr>
      <w:tr w:rsidR="00C941F7" w:rsidTr="00D10CED">
        <w:tc>
          <w:tcPr>
            <w:tcW w:w="1526"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Hypodensities</w:t>
            </w:r>
          </w:p>
        </w:tc>
        <w:tc>
          <w:tcPr>
            <w:tcW w:w="1134" w:type="dxa"/>
            <w:gridSpan w:val="2"/>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Black Hole Sign</w:t>
            </w:r>
          </w:p>
        </w:tc>
        <w:tc>
          <w:tcPr>
            <w:tcW w:w="780"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Swirl</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1116"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Satellite</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8"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Island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0"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Fluid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Level</w:t>
            </w:r>
          </w:p>
        </w:tc>
        <w:tc>
          <w:tcPr>
            <w:tcW w:w="989"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Blend</w:t>
            </w:r>
          </w:p>
          <w:p w:rsidR="00C941F7" w:rsidRPr="00A56E9C" w:rsidRDefault="00C941F7" w:rsidP="00D10CED">
            <w:pPr>
              <w:spacing w:after="0" w:line="240" w:lineRule="auto"/>
              <w:rPr>
                <w:b/>
                <w:noProof/>
                <w:sz w:val="18"/>
                <w:szCs w:val="18"/>
                <w:u w:val="single"/>
                <w:lang w:val="en-US" w:eastAsia="it-IT"/>
              </w:rPr>
            </w:pPr>
            <w:r w:rsidRPr="00A56E9C">
              <w:rPr>
                <w:b/>
                <w:sz w:val="18"/>
                <w:szCs w:val="18"/>
              </w:rPr>
              <w:t>Sign</w:t>
            </w:r>
          </w:p>
        </w:tc>
        <w:tc>
          <w:tcPr>
            <w:tcW w:w="1370" w:type="dxa"/>
            <w:gridSpan w:val="2"/>
          </w:tcPr>
          <w:p w:rsidR="00C941F7" w:rsidRPr="00A56E9C" w:rsidRDefault="00C941F7" w:rsidP="00D10CED">
            <w:pPr>
              <w:spacing w:after="0" w:line="240" w:lineRule="auto"/>
              <w:rPr>
                <w:b/>
                <w:noProof/>
                <w:sz w:val="18"/>
                <w:szCs w:val="18"/>
                <w:u w:val="single"/>
                <w:lang w:val="en-US" w:eastAsia="it-IT"/>
              </w:rPr>
            </w:pPr>
            <w:r w:rsidRPr="00A56E9C">
              <w:rPr>
                <w:b/>
                <w:sz w:val="18"/>
                <w:szCs w:val="18"/>
              </w:rPr>
              <w:t>Irregular Shape</w:t>
            </w:r>
          </w:p>
        </w:tc>
        <w:tc>
          <w:tcPr>
            <w:tcW w:w="1501"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rPr>
              <w:t>Heterogeneous Density</w:t>
            </w:r>
          </w:p>
        </w:tc>
      </w:tr>
      <w:tr w:rsidR="00C941F7" w:rsidTr="00D10CED">
        <w:tc>
          <w:tcPr>
            <w:tcW w:w="1526" w:type="dxa"/>
            <w:tcBorders>
              <w:bottom w:val="single" w:sz="12" w:space="0" w:color="auto"/>
            </w:tcBorders>
          </w:tcPr>
          <w:p w:rsidR="00C941F7" w:rsidRPr="00341719" w:rsidRDefault="00C941F7" w:rsidP="00D10CED">
            <w:pPr>
              <w:spacing w:after="0" w:line="240" w:lineRule="auto"/>
              <w:rPr>
                <w:sz w:val="18"/>
                <w:szCs w:val="18"/>
                <w:lang w:val="en-US"/>
              </w:rPr>
            </w:pPr>
            <w:r w:rsidRPr="00341719">
              <w:rPr>
                <w:b/>
                <w:sz w:val="18"/>
                <w:szCs w:val="18"/>
                <w:u w:val="single"/>
                <w:lang w:val="en-US"/>
              </w:rPr>
              <w:t>N</w:t>
            </w:r>
            <w:r w:rsidRPr="00341719">
              <w:rPr>
                <w:sz w:val="18"/>
                <w:szCs w:val="18"/>
                <w:lang w:val="en-US"/>
              </w:rPr>
              <w:t xml:space="preserve"> (A1 mimics: connection with brain parenchyma in B1-B2)</w:t>
            </w:r>
          </w:p>
        </w:tc>
        <w:tc>
          <w:tcPr>
            <w:tcW w:w="1134" w:type="dxa"/>
            <w:gridSpan w:val="2"/>
            <w:tcBorders>
              <w:bottom w:val="single" w:sz="12" w:space="0" w:color="auto"/>
            </w:tcBorders>
          </w:tcPr>
          <w:p w:rsidR="00C941F7" w:rsidRPr="00341719" w:rsidRDefault="00C941F7" w:rsidP="00D10CED">
            <w:pPr>
              <w:spacing w:after="0" w:line="240" w:lineRule="auto"/>
              <w:rPr>
                <w:sz w:val="18"/>
                <w:szCs w:val="18"/>
                <w:lang w:val="en-US"/>
              </w:rPr>
            </w:pPr>
            <w:r w:rsidRPr="00341719">
              <w:rPr>
                <w:b/>
                <w:sz w:val="18"/>
                <w:szCs w:val="18"/>
                <w:u w:val="single"/>
                <w:lang w:val="en-US"/>
              </w:rPr>
              <w:t>N</w:t>
            </w:r>
            <w:r w:rsidRPr="00341719">
              <w:rPr>
                <w:sz w:val="18"/>
                <w:szCs w:val="18"/>
                <w:lang w:val="en-US"/>
              </w:rPr>
              <w:t xml:space="preserve"> (A1 mimics: connection with brain parenchyma in B1-B2)</w:t>
            </w:r>
          </w:p>
        </w:tc>
        <w:tc>
          <w:tcPr>
            <w:tcW w:w="780" w:type="dxa"/>
            <w:gridSpan w:val="3"/>
            <w:tcBorders>
              <w:bottom w:val="single" w:sz="12" w:space="0" w:color="auto"/>
            </w:tcBorders>
          </w:tcPr>
          <w:p w:rsidR="00C941F7" w:rsidRPr="008A1BD9" w:rsidRDefault="00C941F7" w:rsidP="00D10CED">
            <w:pPr>
              <w:spacing w:after="0" w:line="240" w:lineRule="auto"/>
              <w:rPr>
                <w:sz w:val="18"/>
                <w:szCs w:val="18"/>
              </w:rPr>
            </w:pPr>
            <w:r w:rsidRPr="008A1BD9">
              <w:rPr>
                <w:b/>
                <w:sz w:val="18"/>
                <w:szCs w:val="18"/>
                <w:u w:val="single"/>
              </w:rPr>
              <w:t>P</w:t>
            </w:r>
            <w:r w:rsidRPr="008A1BD9">
              <w:rPr>
                <w:sz w:val="18"/>
                <w:szCs w:val="18"/>
              </w:rPr>
              <w:t xml:space="preserve"> A1–B1-B2</w:t>
            </w:r>
          </w:p>
        </w:tc>
        <w:tc>
          <w:tcPr>
            <w:tcW w:w="1116" w:type="dxa"/>
            <w:gridSpan w:val="3"/>
            <w:tcBorders>
              <w:bottom w:val="single" w:sz="12" w:space="0" w:color="auto"/>
            </w:tcBorders>
          </w:tcPr>
          <w:p w:rsidR="00C941F7" w:rsidRPr="008A1BD9" w:rsidRDefault="00C941F7" w:rsidP="00D10CED">
            <w:pPr>
              <w:spacing w:after="0" w:line="240" w:lineRule="auto"/>
              <w:rPr>
                <w:sz w:val="18"/>
                <w:szCs w:val="18"/>
                <w:u w:val="single"/>
              </w:rPr>
            </w:pPr>
            <w:r w:rsidRPr="008A1BD9">
              <w:rPr>
                <w:b/>
                <w:sz w:val="18"/>
                <w:szCs w:val="18"/>
                <w:u w:val="single"/>
              </w:rPr>
              <w:t>N</w:t>
            </w:r>
          </w:p>
        </w:tc>
        <w:tc>
          <w:tcPr>
            <w:tcW w:w="858" w:type="dxa"/>
            <w:gridSpan w:val="2"/>
            <w:tcBorders>
              <w:bottom w:val="single" w:sz="12" w:space="0" w:color="auto"/>
            </w:tcBorders>
          </w:tcPr>
          <w:p w:rsidR="00C941F7" w:rsidRPr="008A1BD9" w:rsidRDefault="00C941F7" w:rsidP="00D10CED">
            <w:pPr>
              <w:spacing w:after="0" w:line="240" w:lineRule="auto"/>
              <w:rPr>
                <w:sz w:val="18"/>
                <w:szCs w:val="18"/>
                <w:u w:val="single"/>
              </w:rPr>
            </w:pPr>
            <w:r w:rsidRPr="008A1BD9">
              <w:rPr>
                <w:b/>
                <w:sz w:val="18"/>
                <w:szCs w:val="18"/>
                <w:u w:val="single"/>
              </w:rPr>
              <w:t>N</w:t>
            </w:r>
          </w:p>
        </w:tc>
        <w:tc>
          <w:tcPr>
            <w:tcW w:w="850" w:type="dxa"/>
            <w:gridSpan w:val="3"/>
            <w:tcBorders>
              <w:bottom w:val="single" w:sz="12" w:space="0" w:color="auto"/>
            </w:tcBorders>
          </w:tcPr>
          <w:p w:rsidR="00C941F7" w:rsidRPr="008A1BD9" w:rsidRDefault="00C941F7" w:rsidP="00D10CED">
            <w:pPr>
              <w:spacing w:after="0" w:line="240" w:lineRule="auto"/>
              <w:rPr>
                <w:sz w:val="18"/>
                <w:szCs w:val="18"/>
                <w:u w:val="single"/>
              </w:rPr>
            </w:pPr>
            <w:r w:rsidRPr="008A1BD9">
              <w:rPr>
                <w:b/>
                <w:sz w:val="18"/>
                <w:szCs w:val="18"/>
                <w:u w:val="single"/>
              </w:rPr>
              <w:t>N</w:t>
            </w:r>
          </w:p>
        </w:tc>
        <w:tc>
          <w:tcPr>
            <w:tcW w:w="989" w:type="dxa"/>
            <w:gridSpan w:val="3"/>
            <w:tcBorders>
              <w:bottom w:val="single" w:sz="12" w:space="0" w:color="auto"/>
            </w:tcBorders>
          </w:tcPr>
          <w:p w:rsidR="00C941F7" w:rsidRPr="008A1BD9" w:rsidRDefault="00C941F7" w:rsidP="00D10CED">
            <w:pPr>
              <w:spacing w:after="0" w:line="240" w:lineRule="auto"/>
              <w:rPr>
                <w:sz w:val="18"/>
                <w:szCs w:val="18"/>
                <w:u w:val="single"/>
              </w:rPr>
            </w:pPr>
            <w:r w:rsidRPr="008A1BD9">
              <w:rPr>
                <w:b/>
                <w:sz w:val="18"/>
                <w:szCs w:val="18"/>
                <w:u w:val="single"/>
              </w:rPr>
              <w:t>N</w:t>
            </w:r>
          </w:p>
        </w:tc>
        <w:tc>
          <w:tcPr>
            <w:tcW w:w="1370" w:type="dxa"/>
            <w:gridSpan w:val="2"/>
            <w:tcBorders>
              <w:bottom w:val="single" w:sz="12" w:space="0" w:color="auto"/>
            </w:tcBorders>
          </w:tcPr>
          <w:p w:rsidR="00C941F7" w:rsidRPr="008A1BD9" w:rsidRDefault="00C941F7" w:rsidP="00D10CED">
            <w:pPr>
              <w:spacing w:after="0" w:line="240" w:lineRule="auto"/>
              <w:rPr>
                <w:b/>
                <w:sz w:val="18"/>
                <w:szCs w:val="18"/>
                <w:u w:val="single"/>
              </w:rPr>
            </w:pPr>
            <w:r w:rsidRPr="008A1BD9">
              <w:rPr>
                <w:b/>
                <w:sz w:val="18"/>
                <w:szCs w:val="18"/>
                <w:u w:val="single"/>
              </w:rPr>
              <w:t>IV</w:t>
            </w:r>
          </w:p>
        </w:tc>
        <w:tc>
          <w:tcPr>
            <w:tcW w:w="1501" w:type="dxa"/>
            <w:tcBorders>
              <w:bottom w:val="single" w:sz="12" w:space="0" w:color="auto"/>
            </w:tcBorders>
          </w:tcPr>
          <w:p w:rsidR="00C941F7" w:rsidRPr="008A1BD9" w:rsidRDefault="00C941F7" w:rsidP="00D10CED">
            <w:pPr>
              <w:spacing w:after="0" w:line="240" w:lineRule="auto"/>
              <w:rPr>
                <w:b/>
                <w:sz w:val="18"/>
                <w:szCs w:val="18"/>
                <w:u w:val="single"/>
              </w:rPr>
            </w:pPr>
            <w:r w:rsidRPr="008A1BD9">
              <w:rPr>
                <w:b/>
                <w:sz w:val="18"/>
                <w:szCs w:val="18"/>
                <w:u w:val="single"/>
              </w:rPr>
              <w:t>III</w:t>
            </w:r>
          </w:p>
        </w:tc>
      </w:tr>
      <w:tr w:rsidR="00C941F7" w:rsidTr="00D10CED">
        <w:trPr>
          <w:trHeight w:val="64"/>
        </w:trPr>
        <w:tc>
          <w:tcPr>
            <w:tcW w:w="10124" w:type="dxa"/>
            <w:gridSpan w:val="20"/>
            <w:tcBorders>
              <w:top w:val="single" w:sz="12" w:space="0" w:color="auto"/>
              <w:bottom w:val="single" w:sz="6" w:space="0" w:color="auto"/>
            </w:tcBorders>
            <w:shd w:val="pct15" w:color="auto" w:fill="auto"/>
          </w:tcPr>
          <w:p w:rsidR="00C941F7" w:rsidRDefault="00C941F7" w:rsidP="00D10CED">
            <w:pPr>
              <w:spacing w:after="0"/>
              <w:rPr>
                <w:b/>
                <w:noProof/>
                <w:sz w:val="20"/>
                <w:szCs w:val="20"/>
                <w:u w:val="single"/>
                <w:lang w:val="en-US" w:eastAsia="it-IT"/>
              </w:rPr>
            </w:pPr>
            <w:r>
              <w:rPr>
                <w:b/>
                <w:noProof/>
                <w:sz w:val="20"/>
                <w:szCs w:val="20"/>
                <w:lang w:val="en-US" w:eastAsia="it-IT"/>
              </w:rPr>
              <w:t>TRAINING CASE 4</w:t>
            </w:r>
          </w:p>
        </w:tc>
      </w:tr>
      <w:tr w:rsidR="00C941F7" w:rsidTr="00D10CED">
        <w:tc>
          <w:tcPr>
            <w:tcW w:w="10124" w:type="dxa"/>
            <w:gridSpan w:val="20"/>
            <w:tcBorders>
              <w:top w:val="single" w:sz="6" w:space="0" w:color="auto"/>
            </w:tcBorders>
          </w:tcPr>
          <w:p w:rsidR="00C941F7" w:rsidRDefault="00C941F7" w:rsidP="00D10CED">
            <w:pPr>
              <w:spacing w:before="60" w:after="60"/>
              <w:jc w:val="center"/>
              <w:rPr>
                <w:b/>
                <w:noProof/>
                <w:sz w:val="20"/>
                <w:szCs w:val="20"/>
                <w:lang w:val="en-US" w:eastAsia="it-IT"/>
              </w:rPr>
            </w:pPr>
            <w:r w:rsidRPr="007C453D">
              <w:rPr>
                <w:noProof/>
                <w:sz w:val="20"/>
                <w:szCs w:val="20"/>
                <w:lang w:val="en-US"/>
              </w:rPr>
              <w:lastRenderedPageBreak/>
              <w:drawing>
                <wp:inline distT="0" distB="0" distL="0" distR="0" wp14:anchorId="0D160D59" wp14:editId="220AC31C">
                  <wp:extent cx="5810400" cy="30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0400" cy="3038400"/>
                          </a:xfrm>
                          <a:prstGeom prst="rect">
                            <a:avLst/>
                          </a:prstGeom>
                          <a:noFill/>
                          <a:ln>
                            <a:noFill/>
                          </a:ln>
                        </pic:spPr>
                      </pic:pic>
                    </a:graphicData>
                  </a:graphic>
                </wp:inline>
              </w:drawing>
            </w:r>
          </w:p>
        </w:tc>
      </w:tr>
      <w:tr w:rsidR="00C941F7" w:rsidRPr="001A2F73" w:rsidTr="00D10CED">
        <w:tc>
          <w:tcPr>
            <w:tcW w:w="1526"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Hypodensities</w:t>
            </w:r>
          </w:p>
        </w:tc>
        <w:tc>
          <w:tcPr>
            <w:tcW w:w="1134" w:type="dxa"/>
            <w:gridSpan w:val="2"/>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Black Hole Sign</w:t>
            </w:r>
          </w:p>
        </w:tc>
        <w:tc>
          <w:tcPr>
            <w:tcW w:w="780"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Swirl</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1116"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Satellite</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8"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Island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0"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Fluid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Level</w:t>
            </w:r>
          </w:p>
        </w:tc>
        <w:tc>
          <w:tcPr>
            <w:tcW w:w="989"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Blend</w:t>
            </w:r>
          </w:p>
          <w:p w:rsidR="00C941F7" w:rsidRPr="00A56E9C" w:rsidRDefault="00C941F7" w:rsidP="00D10CED">
            <w:pPr>
              <w:spacing w:after="0" w:line="240" w:lineRule="auto"/>
              <w:rPr>
                <w:b/>
                <w:noProof/>
                <w:sz w:val="18"/>
                <w:szCs w:val="18"/>
                <w:u w:val="single"/>
                <w:lang w:val="en-US" w:eastAsia="it-IT"/>
              </w:rPr>
            </w:pPr>
            <w:r w:rsidRPr="00A56E9C">
              <w:rPr>
                <w:b/>
                <w:sz w:val="18"/>
                <w:szCs w:val="18"/>
              </w:rPr>
              <w:t>Sign</w:t>
            </w:r>
          </w:p>
        </w:tc>
        <w:tc>
          <w:tcPr>
            <w:tcW w:w="1370" w:type="dxa"/>
            <w:gridSpan w:val="2"/>
          </w:tcPr>
          <w:p w:rsidR="00C941F7" w:rsidRPr="00A56E9C" w:rsidRDefault="00C941F7" w:rsidP="00D10CED">
            <w:pPr>
              <w:spacing w:after="0" w:line="240" w:lineRule="auto"/>
              <w:rPr>
                <w:b/>
                <w:noProof/>
                <w:sz w:val="18"/>
                <w:szCs w:val="18"/>
                <w:u w:val="single"/>
                <w:lang w:val="en-US" w:eastAsia="it-IT"/>
              </w:rPr>
            </w:pPr>
            <w:r w:rsidRPr="00A56E9C">
              <w:rPr>
                <w:b/>
                <w:sz w:val="18"/>
                <w:szCs w:val="18"/>
              </w:rPr>
              <w:t>Irregular Shape</w:t>
            </w:r>
          </w:p>
        </w:tc>
        <w:tc>
          <w:tcPr>
            <w:tcW w:w="1501"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rPr>
              <w:t>Heterogeneous Density</w:t>
            </w:r>
          </w:p>
        </w:tc>
      </w:tr>
      <w:tr w:rsidR="00C941F7" w:rsidTr="00D10CED">
        <w:tc>
          <w:tcPr>
            <w:tcW w:w="1526" w:type="dxa"/>
            <w:tcBorders>
              <w:bottom w:val="single" w:sz="12" w:space="0" w:color="auto"/>
            </w:tcBorders>
          </w:tcPr>
          <w:p w:rsidR="00C941F7" w:rsidRPr="008A1BD9" w:rsidRDefault="00C941F7" w:rsidP="00D10CED">
            <w:pPr>
              <w:spacing w:after="0" w:line="240" w:lineRule="auto"/>
              <w:rPr>
                <w:sz w:val="18"/>
                <w:szCs w:val="18"/>
              </w:rPr>
            </w:pPr>
            <w:r w:rsidRPr="008A1BD9">
              <w:rPr>
                <w:b/>
                <w:sz w:val="18"/>
                <w:szCs w:val="18"/>
                <w:u w:val="single"/>
              </w:rPr>
              <w:t>P</w:t>
            </w:r>
            <w:r w:rsidRPr="008A1BD9">
              <w:rPr>
                <w:sz w:val="18"/>
                <w:szCs w:val="18"/>
              </w:rPr>
              <w:t xml:space="preserve"> A1</w:t>
            </w:r>
          </w:p>
        </w:tc>
        <w:tc>
          <w:tcPr>
            <w:tcW w:w="1134" w:type="dxa"/>
            <w:gridSpan w:val="2"/>
            <w:tcBorders>
              <w:bottom w:val="single" w:sz="12" w:space="0" w:color="auto"/>
            </w:tcBorders>
          </w:tcPr>
          <w:p w:rsidR="00C941F7" w:rsidRPr="00F022D2" w:rsidRDefault="00C941F7" w:rsidP="00D10CED">
            <w:pPr>
              <w:spacing w:after="0" w:line="240" w:lineRule="auto"/>
              <w:rPr>
                <w:b/>
                <w:sz w:val="18"/>
                <w:szCs w:val="18"/>
                <w:u w:val="single"/>
              </w:rPr>
            </w:pPr>
            <w:r w:rsidRPr="00F022D2">
              <w:rPr>
                <w:b/>
                <w:sz w:val="18"/>
                <w:szCs w:val="18"/>
                <w:u w:val="single"/>
              </w:rPr>
              <w:t>N</w:t>
            </w:r>
          </w:p>
        </w:tc>
        <w:tc>
          <w:tcPr>
            <w:tcW w:w="780" w:type="dxa"/>
            <w:gridSpan w:val="3"/>
            <w:tcBorders>
              <w:bottom w:val="single" w:sz="12" w:space="0" w:color="auto"/>
            </w:tcBorders>
          </w:tcPr>
          <w:p w:rsidR="00C941F7" w:rsidRPr="008A1BD9" w:rsidRDefault="00C941F7" w:rsidP="00D10CED">
            <w:pPr>
              <w:spacing w:after="0" w:line="240" w:lineRule="auto"/>
              <w:rPr>
                <w:sz w:val="18"/>
                <w:szCs w:val="18"/>
              </w:rPr>
            </w:pPr>
            <w:r w:rsidRPr="008A1BD9">
              <w:rPr>
                <w:b/>
                <w:sz w:val="18"/>
                <w:szCs w:val="18"/>
                <w:u w:val="single"/>
              </w:rPr>
              <w:t>P</w:t>
            </w:r>
            <w:r w:rsidRPr="008A1BD9">
              <w:rPr>
                <w:sz w:val="18"/>
                <w:szCs w:val="18"/>
              </w:rPr>
              <w:t xml:space="preserve"> A1</w:t>
            </w:r>
          </w:p>
        </w:tc>
        <w:tc>
          <w:tcPr>
            <w:tcW w:w="1116" w:type="dxa"/>
            <w:gridSpan w:val="3"/>
            <w:tcBorders>
              <w:bottom w:val="single" w:sz="12" w:space="0" w:color="auto"/>
            </w:tcBorders>
          </w:tcPr>
          <w:p w:rsidR="00C941F7" w:rsidRPr="008A1BD9" w:rsidRDefault="00C941F7" w:rsidP="00D10CED">
            <w:pPr>
              <w:spacing w:after="0" w:line="240" w:lineRule="auto"/>
              <w:rPr>
                <w:sz w:val="18"/>
                <w:szCs w:val="18"/>
                <w:u w:val="single"/>
              </w:rPr>
            </w:pPr>
            <w:r w:rsidRPr="008A1BD9">
              <w:rPr>
                <w:b/>
                <w:sz w:val="18"/>
                <w:szCs w:val="18"/>
                <w:u w:val="single"/>
              </w:rPr>
              <w:t>N</w:t>
            </w:r>
          </w:p>
        </w:tc>
        <w:tc>
          <w:tcPr>
            <w:tcW w:w="858" w:type="dxa"/>
            <w:gridSpan w:val="2"/>
            <w:tcBorders>
              <w:bottom w:val="single" w:sz="12" w:space="0" w:color="auto"/>
            </w:tcBorders>
          </w:tcPr>
          <w:p w:rsidR="00C941F7" w:rsidRPr="008A1BD9" w:rsidRDefault="00C941F7" w:rsidP="00D10CED">
            <w:pPr>
              <w:spacing w:after="0" w:line="240" w:lineRule="auto"/>
              <w:rPr>
                <w:sz w:val="18"/>
                <w:szCs w:val="18"/>
                <w:u w:val="single"/>
              </w:rPr>
            </w:pPr>
            <w:r w:rsidRPr="008A1BD9">
              <w:rPr>
                <w:b/>
                <w:sz w:val="18"/>
                <w:szCs w:val="18"/>
                <w:u w:val="single"/>
              </w:rPr>
              <w:t>N</w:t>
            </w:r>
          </w:p>
        </w:tc>
        <w:tc>
          <w:tcPr>
            <w:tcW w:w="850" w:type="dxa"/>
            <w:gridSpan w:val="3"/>
            <w:tcBorders>
              <w:bottom w:val="single" w:sz="12" w:space="0" w:color="auto"/>
            </w:tcBorders>
          </w:tcPr>
          <w:p w:rsidR="00C941F7" w:rsidRPr="008A1BD9" w:rsidRDefault="00C941F7" w:rsidP="00D10CED">
            <w:pPr>
              <w:spacing w:after="0" w:line="240" w:lineRule="auto"/>
              <w:rPr>
                <w:sz w:val="18"/>
                <w:szCs w:val="18"/>
                <w:u w:val="single"/>
              </w:rPr>
            </w:pPr>
            <w:r w:rsidRPr="008A1BD9">
              <w:rPr>
                <w:b/>
                <w:sz w:val="18"/>
                <w:szCs w:val="18"/>
                <w:u w:val="single"/>
              </w:rPr>
              <w:t>N</w:t>
            </w:r>
          </w:p>
        </w:tc>
        <w:tc>
          <w:tcPr>
            <w:tcW w:w="989" w:type="dxa"/>
            <w:gridSpan w:val="3"/>
            <w:tcBorders>
              <w:bottom w:val="single" w:sz="12" w:space="0" w:color="auto"/>
            </w:tcBorders>
          </w:tcPr>
          <w:p w:rsidR="00C941F7" w:rsidRPr="008A1BD9" w:rsidRDefault="00C941F7" w:rsidP="00D10CED">
            <w:pPr>
              <w:spacing w:after="0" w:line="240" w:lineRule="auto"/>
              <w:rPr>
                <w:b/>
                <w:sz w:val="18"/>
                <w:szCs w:val="18"/>
                <w:u w:val="single"/>
              </w:rPr>
            </w:pPr>
            <w:r w:rsidRPr="008A1BD9">
              <w:rPr>
                <w:b/>
                <w:sz w:val="18"/>
                <w:szCs w:val="18"/>
                <w:u w:val="single"/>
              </w:rPr>
              <w:t>P</w:t>
            </w:r>
            <w:r w:rsidRPr="008A1BD9">
              <w:rPr>
                <w:sz w:val="18"/>
                <w:szCs w:val="18"/>
              </w:rPr>
              <w:t xml:space="preserve"> A2–A3–A4–B1–B2</w:t>
            </w:r>
          </w:p>
        </w:tc>
        <w:tc>
          <w:tcPr>
            <w:tcW w:w="1370" w:type="dxa"/>
            <w:gridSpan w:val="2"/>
            <w:tcBorders>
              <w:bottom w:val="single" w:sz="12" w:space="0" w:color="auto"/>
            </w:tcBorders>
          </w:tcPr>
          <w:p w:rsidR="00C941F7" w:rsidRPr="008A1BD9" w:rsidRDefault="00C941F7" w:rsidP="00D10CED">
            <w:pPr>
              <w:spacing w:after="0" w:line="240" w:lineRule="auto"/>
              <w:rPr>
                <w:sz w:val="18"/>
                <w:szCs w:val="18"/>
              </w:rPr>
            </w:pPr>
            <w:r w:rsidRPr="008A1BD9">
              <w:rPr>
                <w:b/>
                <w:sz w:val="18"/>
                <w:szCs w:val="18"/>
                <w:u w:val="single"/>
              </w:rPr>
              <w:t>III</w:t>
            </w:r>
          </w:p>
        </w:tc>
        <w:tc>
          <w:tcPr>
            <w:tcW w:w="1501" w:type="dxa"/>
            <w:tcBorders>
              <w:bottom w:val="single" w:sz="12" w:space="0" w:color="auto"/>
            </w:tcBorders>
          </w:tcPr>
          <w:p w:rsidR="00C941F7" w:rsidRPr="008A1BD9" w:rsidRDefault="00C941F7" w:rsidP="00D10CED">
            <w:pPr>
              <w:spacing w:after="0" w:line="240" w:lineRule="auto"/>
              <w:rPr>
                <w:sz w:val="18"/>
                <w:szCs w:val="18"/>
              </w:rPr>
            </w:pPr>
            <w:r w:rsidRPr="008A1BD9">
              <w:rPr>
                <w:b/>
                <w:sz w:val="18"/>
                <w:szCs w:val="18"/>
                <w:u w:val="single"/>
              </w:rPr>
              <w:t>III</w:t>
            </w:r>
          </w:p>
        </w:tc>
      </w:tr>
      <w:tr w:rsidR="00C941F7" w:rsidTr="00D10CED">
        <w:tc>
          <w:tcPr>
            <w:tcW w:w="10124" w:type="dxa"/>
            <w:gridSpan w:val="20"/>
            <w:tcBorders>
              <w:top w:val="single" w:sz="12" w:space="0" w:color="auto"/>
            </w:tcBorders>
            <w:shd w:val="pct15" w:color="auto" w:fill="auto"/>
            <w:vAlign w:val="center"/>
          </w:tcPr>
          <w:p w:rsidR="00C941F7" w:rsidRPr="001A2F73" w:rsidRDefault="00C941F7" w:rsidP="00D10CED">
            <w:pPr>
              <w:spacing w:after="0"/>
              <w:rPr>
                <w:b/>
                <w:noProof/>
                <w:sz w:val="20"/>
                <w:szCs w:val="20"/>
                <w:lang w:val="en-US" w:eastAsia="it-IT"/>
              </w:rPr>
            </w:pPr>
            <w:r>
              <w:rPr>
                <w:b/>
                <w:noProof/>
                <w:sz w:val="20"/>
                <w:szCs w:val="20"/>
                <w:lang w:val="en-US" w:eastAsia="it-IT"/>
              </w:rPr>
              <w:t>TRAINING CASE 5</w:t>
            </w:r>
          </w:p>
        </w:tc>
      </w:tr>
      <w:tr w:rsidR="00C941F7" w:rsidTr="00D10CED">
        <w:tc>
          <w:tcPr>
            <w:tcW w:w="10124" w:type="dxa"/>
            <w:gridSpan w:val="20"/>
          </w:tcPr>
          <w:p w:rsidR="00C941F7" w:rsidRDefault="00C941F7" w:rsidP="00D10CED">
            <w:pPr>
              <w:spacing w:before="60" w:after="60"/>
              <w:jc w:val="center"/>
              <w:rPr>
                <w:b/>
                <w:noProof/>
                <w:sz w:val="20"/>
                <w:szCs w:val="20"/>
                <w:u w:val="single"/>
                <w:lang w:val="en-US" w:eastAsia="it-IT"/>
              </w:rPr>
            </w:pPr>
            <w:r w:rsidRPr="007C453D">
              <w:rPr>
                <w:noProof/>
                <w:sz w:val="20"/>
                <w:szCs w:val="20"/>
                <w:lang w:val="en-US"/>
              </w:rPr>
              <w:drawing>
                <wp:inline distT="0" distB="0" distL="0" distR="0" wp14:anchorId="11EBD05B" wp14:editId="1EA4FBF7">
                  <wp:extent cx="3355200" cy="316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5200" cy="3160800"/>
                          </a:xfrm>
                          <a:prstGeom prst="rect">
                            <a:avLst/>
                          </a:prstGeom>
                          <a:noFill/>
                          <a:ln>
                            <a:noFill/>
                          </a:ln>
                        </pic:spPr>
                      </pic:pic>
                    </a:graphicData>
                  </a:graphic>
                </wp:inline>
              </w:drawing>
            </w:r>
          </w:p>
        </w:tc>
      </w:tr>
      <w:tr w:rsidR="00C941F7" w:rsidTr="00D10CED">
        <w:tc>
          <w:tcPr>
            <w:tcW w:w="1526"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Hypodensities</w:t>
            </w:r>
          </w:p>
        </w:tc>
        <w:tc>
          <w:tcPr>
            <w:tcW w:w="1134" w:type="dxa"/>
            <w:gridSpan w:val="2"/>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Black Hole Sign</w:t>
            </w:r>
          </w:p>
        </w:tc>
        <w:tc>
          <w:tcPr>
            <w:tcW w:w="780"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Swirl</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1116"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Satellite</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8"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Island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0"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Fluid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Level</w:t>
            </w:r>
          </w:p>
        </w:tc>
        <w:tc>
          <w:tcPr>
            <w:tcW w:w="989"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Blend</w:t>
            </w:r>
          </w:p>
          <w:p w:rsidR="00C941F7" w:rsidRPr="00A56E9C" w:rsidRDefault="00C941F7" w:rsidP="00D10CED">
            <w:pPr>
              <w:spacing w:after="0" w:line="240" w:lineRule="auto"/>
              <w:rPr>
                <w:b/>
                <w:noProof/>
                <w:sz w:val="18"/>
                <w:szCs w:val="18"/>
                <w:u w:val="single"/>
                <w:lang w:val="en-US" w:eastAsia="it-IT"/>
              </w:rPr>
            </w:pPr>
            <w:r w:rsidRPr="00A56E9C">
              <w:rPr>
                <w:b/>
                <w:sz w:val="18"/>
                <w:szCs w:val="18"/>
              </w:rPr>
              <w:t>Sign</w:t>
            </w:r>
          </w:p>
        </w:tc>
        <w:tc>
          <w:tcPr>
            <w:tcW w:w="1370" w:type="dxa"/>
            <w:gridSpan w:val="2"/>
          </w:tcPr>
          <w:p w:rsidR="00C941F7" w:rsidRPr="00A56E9C" w:rsidRDefault="00C941F7" w:rsidP="00D10CED">
            <w:pPr>
              <w:spacing w:after="0" w:line="240" w:lineRule="auto"/>
              <w:rPr>
                <w:b/>
                <w:noProof/>
                <w:sz w:val="18"/>
                <w:szCs w:val="18"/>
                <w:u w:val="single"/>
                <w:lang w:val="en-US" w:eastAsia="it-IT"/>
              </w:rPr>
            </w:pPr>
            <w:r w:rsidRPr="00A56E9C">
              <w:rPr>
                <w:b/>
                <w:sz w:val="18"/>
                <w:szCs w:val="18"/>
              </w:rPr>
              <w:t>Irregular Shape</w:t>
            </w:r>
          </w:p>
        </w:tc>
        <w:tc>
          <w:tcPr>
            <w:tcW w:w="1501"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rPr>
              <w:t>Heterogeneous Density</w:t>
            </w:r>
          </w:p>
        </w:tc>
      </w:tr>
      <w:tr w:rsidR="00C941F7" w:rsidTr="00D10CED">
        <w:tc>
          <w:tcPr>
            <w:tcW w:w="1526" w:type="dxa"/>
            <w:tcBorders>
              <w:bottom w:val="single" w:sz="12" w:space="0" w:color="auto"/>
            </w:tcBorders>
          </w:tcPr>
          <w:p w:rsidR="00C941F7" w:rsidRPr="008A1BD9" w:rsidRDefault="00C941F7" w:rsidP="00D10CED">
            <w:pPr>
              <w:spacing w:after="40" w:line="240" w:lineRule="auto"/>
              <w:rPr>
                <w:sz w:val="18"/>
                <w:szCs w:val="18"/>
                <w:u w:val="single"/>
              </w:rPr>
            </w:pPr>
            <w:r w:rsidRPr="008A1BD9">
              <w:rPr>
                <w:b/>
                <w:sz w:val="18"/>
                <w:szCs w:val="18"/>
                <w:u w:val="single"/>
              </w:rPr>
              <w:t>N</w:t>
            </w:r>
          </w:p>
        </w:tc>
        <w:tc>
          <w:tcPr>
            <w:tcW w:w="1134" w:type="dxa"/>
            <w:gridSpan w:val="2"/>
            <w:tcBorders>
              <w:bottom w:val="single" w:sz="12" w:space="0" w:color="auto"/>
            </w:tcBorders>
          </w:tcPr>
          <w:p w:rsidR="00C941F7" w:rsidRPr="008A1BD9" w:rsidRDefault="00C941F7" w:rsidP="00D10CED">
            <w:pPr>
              <w:spacing w:after="40" w:line="240" w:lineRule="auto"/>
              <w:rPr>
                <w:sz w:val="18"/>
                <w:szCs w:val="18"/>
                <w:u w:val="single"/>
              </w:rPr>
            </w:pPr>
            <w:r w:rsidRPr="008A1BD9">
              <w:rPr>
                <w:b/>
                <w:sz w:val="18"/>
                <w:szCs w:val="18"/>
                <w:u w:val="single"/>
              </w:rPr>
              <w:t>N</w:t>
            </w:r>
          </w:p>
        </w:tc>
        <w:tc>
          <w:tcPr>
            <w:tcW w:w="780" w:type="dxa"/>
            <w:gridSpan w:val="3"/>
            <w:tcBorders>
              <w:bottom w:val="single" w:sz="12" w:space="0" w:color="auto"/>
            </w:tcBorders>
          </w:tcPr>
          <w:p w:rsidR="00C941F7" w:rsidRPr="008A1BD9" w:rsidRDefault="00C941F7" w:rsidP="00D10CED">
            <w:pPr>
              <w:spacing w:after="40" w:line="240" w:lineRule="auto"/>
              <w:rPr>
                <w:sz w:val="18"/>
                <w:szCs w:val="18"/>
                <w:u w:val="single"/>
              </w:rPr>
            </w:pPr>
            <w:r w:rsidRPr="008A1BD9">
              <w:rPr>
                <w:b/>
                <w:sz w:val="18"/>
                <w:szCs w:val="18"/>
                <w:u w:val="single"/>
              </w:rPr>
              <w:t>N</w:t>
            </w:r>
          </w:p>
        </w:tc>
        <w:tc>
          <w:tcPr>
            <w:tcW w:w="1116" w:type="dxa"/>
            <w:gridSpan w:val="3"/>
            <w:tcBorders>
              <w:bottom w:val="single" w:sz="12" w:space="0" w:color="auto"/>
            </w:tcBorders>
          </w:tcPr>
          <w:p w:rsidR="00C941F7" w:rsidRPr="008A1BD9" w:rsidRDefault="00C941F7" w:rsidP="00D10CED">
            <w:pPr>
              <w:spacing w:after="40" w:line="240" w:lineRule="auto"/>
              <w:rPr>
                <w:sz w:val="18"/>
                <w:szCs w:val="18"/>
                <w:u w:val="single"/>
              </w:rPr>
            </w:pPr>
            <w:r w:rsidRPr="008A1BD9">
              <w:rPr>
                <w:b/>
                <w:sz w:val="18"/>
                <w:szCs w:val="18"/>
                <w:u w:val="single"/>
              </w:rPr>
              <w:t>N</w:t>
            </w:r>
          </w:p>
        </w:tc>
        <w:tc>
          <w:tcPr>
            <w:tcW w:w="858" w:type="dxa"/>
            <w:gridSpan w:val="2"/>
            <w:tcBorders>
              <w:bottom w:val="single" w:sz="12" w:space="0" w:color="auto"/>
            </w:tcBorders>
          </w:tcPr>
          <w:p w:rsidR="00C941F7" w:rsidRPr="008A1BD9" w:rsidRDefault="00C941F7" w:rsidP="00D10CED">
            <w:pPr>
              <w:spacing w:after="40" w:line="240" w:lineRule="auto"/>
              <w:rPr>
                <w:sz w:val="18"/>
                <w:szCs w:val="18"/>
                <w:u w:val="single"/>
              </w:rPr>
            </w:pPr>
            <w:r w:rsidRPr="008A1BD9">
              <w:rPr>
                <w:b/>
                <w:sz w:val="18"/>
                <w:szCs w:val="18"/>
                <w:u w:val="single"/>
              </w:rPr>
              <w:t>N</w:t>
            </w:r>
          </w:p>
        </w:tc>
        <w:tc>
          <w:tcPr>
            <w:tcW w:w="850" w:type="dxa"/>
            <w:gridSpan w:val="3"/>
            <w:tcBorders>
              <w:bottom w:val="single" w:sz="12" w:space="0" w:color="auto"/>
            </w:tcBorders>
          </w:tcPr>
          <w:p w:rsidR="00C941F7" w:rsidRPr="008A1BD9" w:rsidRDefault="00C941F7" w:rsidP="00D10CED">
            <w:pPr>
              <w:spacing w:after="40" w:line="240" w:lineRule="auto"/>
              <w:rPr>
                <w:sz w:val="18"/>
                <w:szCs w:val="18"/>
                <w:u w:val="single"/>
              </w:rPr>
            </w:pPr>
            <w:r w:rsidRPr="008A1BD9">
              <w:rPr>
                <w:b/>
                <w:sz w:val="18"/>
                <w:szCs w:val="18"/>
                <w:u w:val="single"/>
              </w:rPr>
              <w:t>P</w:t>
            </w:r>
            <w:r w:rsidRPr="008A1BD9">
              <w:rPr>
                <w:sz w:val="18"/>
                <w:szCs w:val="18"/>
              </w:rPr>
              <w:t xml:space="preserve"> A1</w:t>
            </w:r>
          </w:p>
        </w:tc>
        <w:tc>
          <w:tcPr>
            <w:tcW w:w="989" w:type="dxa"/>
            <w:gridSpan w:val="3"/>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P</w:t>
            </w:r>
            <w:r w:rsidRPr="008A1BD9">
              <w:rPr>
                <w:sz w:val="18"/>
                <w:szCs w:val="18"/>
              </w:rPr>
              <w:t xml:space="preserve"> A1</w:t>
            </w:r>
          </w:p>
        </w:tc>
        <w:tc>
          <w:tcPr>
            <w:tcW w:w="1370" w:type="dxa"/>
            <w:gridSpan w:val="2"/>
            <w:tcBorders>
              <w:bottom w:val="single" w:sz="12" w:space="0" w:color="auto"/>
            </w:tcBorders>
          </w:tcPr>
          <w:p w:rsidR="00C941F7" w:rsidRPr="008A1BD9" w:rsidRDefault="00C941F7" w:rsidP="00D10CED">
            <w:pPr>
              <w:spacing w:after="40" w:line="240" w:lineRule="auto"/>
              <w:rPr>
                <w:b/>
                <w:sz w:val="18"/>
                <w:szCs w:val="18"/>
                <w:u w:val="single"/>
              </w:rPr>
            </w:pPr>
            <w:r w:rsidRPr="008A1BD9">
              <w:rPr>
                <w:b/>
                <w:sz w:val="18"/>
                <w:szCs w:val="18"/>
                <w:u w:val="single"/>
              </w:rPr>
              <w:t>I</w:t>
            </w:r>
          </w:p>
        </w:tc>
        <w:tc>
          <w:tcPr>
            <w:tcW w:w="1501" w:type="dxa"/>
            <w:tcBorders>
              <w:bottom w:val="single" w:sz="12" w:space="0" w:color="auto"/>
            </w:tcBorders>
          </w:tcPr>
          <w:p w:rsidR="00C941F7" w:rsidRPr="008A1BD9" w:rsidRDefault="00C941F7" w:rsidP="00D10CED">
            <w:pPr>
              <w:spacing w:after="40" w:line="240" w:lineRule="auto"/>
              <w:rPr>
                <w:b/>
                <w:sz w:val="18"/>
                <w:szCs w:val="18"/>
                <w:u w:val="single"/>
              </w:rPr>
            </w:pPr>
            <w:r w:rsidRPr="008A1BD9">
              <w:rPr>
                <w:b/>
                <w:sz w:val="18"/>
                <w:szCs w:val="18"/>
                <w:u w:val="single"/>
              </w:rPr>
              <w:t>I-II</w:t>
            </w:r>
          </w:p>
        </w:tc>
      </w:tr>
      <w:tr w:rsidR="00C941F7" w:rsidTr="00D10CED">
        <w:trPr>
          <w:trHeight w:val="64"/>
        </w:trPr>
        <w:tc>
          <w:tcPr>
            <w:tcW w:w="10124" w:type="dxa"/>
            <w:gridSpan w:val="20"/>
            <w:tcBorders>
              <w:top w:val="single" w:sz="12" w:space="0" w:color="auto"/>
              <w:bottom w:val="single" w:sz="6" w:space="0" w:color="auto"/>
            </w:tcBorders>
            <w:shd w:val="pct15" w:color="auto" w:fill="auto"/>
          </w:tcPr>
          <w:p w:rsidR="00C941F7" w:rsidRDefault="00C941F7" w:rsidP="00D10CED">
            <w:pPr>
              <w:spacing w:after="0"/>
              <w:rPr>
                <w:b/>
                <w:noProof/>
                <w:sz w:val="20"/>
                <w:szCs w:val="20"/>
                <w:u w:val="single"/>
                <w:lang w:val="en-US" w:eastAsia="it-IT"/>
              </w:rPr>
            </w:pPr>
            <w:r>
              <w:rPr>
                <w:b/>
                <w:noProof/>
                <w:sz w:val="20"/>
                <w:szCs w:val="20"/>
                <w:lang w:val="en-US" w:eastAsia="it-IT"/>
              </w:rPr>
              <w:t>TRAINING CASE 6</w:t>
            </w:r>
          </w:p>
        </w:tc>
      </w:tr>
      <w:tr w:rsidR="00C941F7" w:rsidTr="00D10CED">
        <w:tc>
          <w:tcPr>
            <w:tcW w:w="10124" w:type="dxa"/>
            <w:gridSpan w:val="20"/>
            <w:tcBorders>
              <w:top w:val="single" w:sz="6" w:space="0" w:color="auto"/>
            </w:tcBorders>
          </w:tcPr>
          <w:p w:rsidR="00C941F7" w:rsidRDefault="00C941F7" w:rsidP="00D10CED">
            <w:pPr>
              <w:spacing w:before="60" w:after="60"/>
              <w:jc w:val="center"/>
              <w:rPr>
                <w:b/>
                <w:noProof/>
                <w:sz w:val="20"/>
                <w:szCs w:val="20"/>
                <w:lang w:val="en-US" w:eastAsia="it-IT"/>
              </w:rPr>
            </w:pPr>
            <w:r w:rsidRPr="007C453D">
              <w:rPr>
                <w:noProof/>
                <w:sz w:val="20"/>
                <w:szCs w:val="20"/>
                <w:lang w:val="en-US"/>
              </w:rPr>
              <w:lastRenderedPageBreak/>
              <w:drawing>
                <wp:inline distT="0" distB="0" distL="0" distR="0" wp14:anchorId="3A630274" wp14:editId="0362002D">
                  <wp:extent cx="3290400" cy="32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0400" cy="3214800"/>
                          </a:xfrm>
                          <a:prstGeom prst="rect">
                            <a:avLst/>
                          </a:prstGeom>
                          <a:noFill/>
                          <a:ln>
                            <a:noFill/>
                          </a:ln>
                        </pic:spPr>
                      </pic:pic>
                    </a:graphicData>
                  </a:graphic>
                </wp:inline>
              </w:drawing>
            </w:r>
          </w:p>
        </w:tc>
      </w:tr>
      <w:tr w:rsidR="00C941F7" w:rsidRPr="001A2F73" w:rsidTr="00D10CED">
        <w:tc>
          <w:tcPr>
            <w:tcW w:w="1526"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Hypodensities</w:t>
            </w:r>
          </w:p>
        </w:tc>
        <w:tc>
          <w:tcPr>
            <w:tcW w:w="1134" w:type="dxa"/>
            <w:gridSpan w:val="2"/>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Black Hole Sign</w:t>
            </w:r>
          </w:p>
        </w:tc>
        <w:tc>
          <w:tcPr>
            <w:tcW w:w="780"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Swirl</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1116"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Satellite</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8"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Island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0"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Fluid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Level</w:t>
            </w:r>
          </w:p>
        </w:tc>
        <w:tc>
          <w:tcPr>
            <w:tcW w:w="989"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Blend</w:t>
            </w:r>
          </w:p>
          <w:p w:rsidR="00C941F7" w:rsidRPr="00A56E9C" w:rsidRDefault="00C941F7" w:rsidP="00D10CED">
            <w:pPr>
              <w:spacing w:after="0" w:line="240" w:lineRule="auto"/>
              <w:rPr>
                <w:b/>
                <w:noProof/>
                <w:sz w:val="18"/>
                <w:szCs w:val="18"/>
                <w:u w:val="single"/>
                <w:lang w:val="en-US" w:eastAsia="it-IT"/>
              </w:rPr>
            </w:pPr>
            <w:r w:rsidRPr="00A56E9C">
              <w:rPr>
                <w:b/>
                <w:sz w:val="18"/>
                <w:szCs w:val="18"/>
              </w:rPr>
              <w:t>Sign</w:t>
            </w:r>
          </w:p>
        </w:tc>
        <w:tc>
          <w:tcPr>
            <w:tcW w:w="1370" w:type="dxa"/>
            <w:gridSpan w:val="2"/>
          </w:tcPr>
          <w:p w:rsidR="00C941F7" w:rsidRPr="00A56E9C" w:rsidRDefault="00C941F7" w:rsidP="00D10CED">
            <w:pPr>
              <w:spacing w:after="0" w:line="240" w:lineRule="auto"/>
              <w:rPr>
                <w:b/>
                <w:noProof/>
                <w:sz w:val="18"/>
                <w:szCs w:val="18"/>
                <w:u w:val="single"/>
                <w:lang w:val="en-US" w:eastAsia="it-IT"/>
              </w:rPr>
            </w:pPr>
            <w:r w:rsidRPr="00A56E9C">
              <w:rPr>
                <w:b/>
                <w:sz w:val="18"/>
                <w:szCs w:val="18"/>
              </w:rPr>
              <w:t>Irregular Shape</w:t>
            </w:r>
          </w:p>
        </w:tc>
        <w:tc>
          <w:tcPr>
            <w:tcW w:w="1501"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rPr>
              <w:t>Heterogeneous Density</w:t>
            </w:r>
          </w:p>
        </w:tc>
      </w:tr>
      <w:tr w:rsidR="00C941F7" w:rsidTr="00D10CED">
        <w:tc>
          <w:tcPr>
            <w:tcW w:w="1526" w:type="dxa"/>
            <w:tcBorders>
              <w:bottom w:val="single" w:sz="12" w:space="0" w:color="auto"/>
            </w:tcBorders>
          </w:tcPr>
          <w:p w:rsidR="00C941F7" w:rsidRPr="00341719" w:rsidRDefault="00C941F7" w:rsidP="00D10CED">
            <w:pPr>
              <w:spacing w:after="0" w:line="240" w:lineRule="auto"/>
              <w:rPr>
                <w:b/>
                <w:sz w:val="18"/>
                <w:szCs w:val="18"/>
                <w:u w:val="single"/>
                <w:lang w:val="en-US"/>
              </w:rPr>
            </w:pPr>
            <w:r w:rsidRPr="00341719">
              <w:rPr>
                <w:b/>
                <w:sz w:val="18"/>
                <w:szCs w:val="18"/>
                <w:u w:val="single"/>
                <w:lang w:val="en-US"/>
              </w:rPr>
              <w:t>P</w:t>
            </w:r>
            <w:r w:rsidRPr="00341719">
              <w:rPr>
                <w:sz w:val="18"/>
                <w:szCs w:val="18"/>
                <w:lang w:val="en-US"/>
              </w:rPr>
              <w:t xml:space="preserve"> A5-A6. (Not A7 because connected with brain parenchyma)</w:t>
            </w:r>
          </w:p>
        </w:tc>
        <w:tc>
          <w:tcPr>
            <w:tcW w:w="1134" w:type="dxa"/>
            <w:gridSpan w:val="2"/>
            <w:tcBorders>
              <w:bottom w:val="single" w:sz="12" w:space="0" w:color="auto"/>
            </w:tcBorders>
          </w:tcPr>
          <w:p w:rsidR="00C941F7" w:rsidRPr="008A1BD9" w:rsidRDefault="00C941F7" w:rsidP="00D10CED">
            <w:pPr>
              <w:spacing w:after="0" w:line="240" w:lineRule="auto"/>
              <w:rPr>
                <w:sz w:val="18"/>
                <w:szCs w:val="18"/>
                <w:u w:val="single"/>
              </w:rPr>
            </w:pPr>
            <w:r w:rsidRPr="008A1BD9">
              <w:rPr>
                <w:b/>
                <w:sz w:val="18"/>
                <w:szCs w:val="18"/>
                <w:u w:val="single"/>
              </w:rPr>
              <w:t>P</w:t>
            </w:r>
            <w:r w:rsidRPr="008A1BD9">
              <w:rPr>
                <w:sz w:val="18"/>
                <w:szCs w:val="18"/>
              </w:rPr>
              <w:t xml:space="preserve"> A5</w:t>
            </w:r>
          </w:p>
        </w:tc>
        <w:tc>
          <w:tcPr>
            <w:tcW w:w="780" w:type="dxa"/>
            <w:gridSpan w:val="3"/>
            <w:tcBorders>
              <w:bottom w:val="single" w:sz="12" w:space="0" w:color="auto"/>
            </w:tcBorders>
          </w:tcPr>
          <w:p w:rsidR="00C941F7" w:rsidRPr="008A1BD9" w:rsidRDefault="00C941F7" w:rsidP="00D10CED">
            <w:pPr>
              <w:spacing w:after="0" w:line="240" w:lineRule="auto"/>
              <w:rPr>
                <w:b/>
                <w:sz w:val="18"/>
                <w:szCs w:val="18"/>
              </w:rPr>
            </w:pPr>
            <w:r w:rsidRPr="008A1BD9">
              <w:rPr>
                <w:b/>
                <w:sz w:val="18"/>
                <w:szCs w:val="18"/>
                <w:u w:val="single"/>
              </w:rPr>
              <w:t>P</w:t>
            </w:r>
            <w:r w:rsidRPr="008A1BD9">
              <w:rPr>
                <w:sz w:val="18"/>
                <w:szCs w:val="18"/>
              </w:rPr>
              <w:t xml:space="preserve"> A5–A6-A7</w:t>
            </w:r>
          </w:p>
        </w:tc>
        <w:tc>
          <w:tcPr>
            <w:tcW w:w="1116" w:type="dxa"/>
            <w:gridSpan w:val="3"/>
            <w:tcBorders>
              <w:bottom w:val="single" w:sz="12" w:space="0" w:color="auto"/>
            </w:tcBorders>
          </w:tcPr>
          <w:p w:rsidR="00C941F7" w:rsidRPr="008A1BD9" w:rsidRDefault="00C941F7" w:rsidP="00D10CED">
            <w:pPr>
              <w:spacing w:after="0" w:line="240" w:lineRule="auto"/>
              <w:rPr>
                <w:sz w:val="18"/>
                <w:szCs w:val="18"/>
              </w:rPr>
            </w:pPr>
            <w:r w:rsidRPr="008A1BD9">
              <w:rPr>
                <w:b/>
                <w:sz w:val="18"/>
                <w:szCs w:val="18"/>
                <w:u w:val="single"/>
              </w:rPr>
              <w:t>P</w:t>
            </w:r>
            <w:r w:rsidRPr="008A1BD9">
              <w:rPr>
                <w:sz w:val="18"/>
                <w:szCs w:val="18"/>
              </w:rPr>
              <w:t xml:space="preserve"> A1–A2–A3-A4</w:t>
            </w:r>
          </w:p>
        </w:tc>
        <w:tc>
          <w:tcPr>
            <w:tcW w:w="858" w:type="dxa"/>
            <w:gridSpan w:val="2"/>
            <w:tcBorders>
              <w:bottom w:val="single" w:sz="12" w:space="0" w:color="auto"/>
            </w:tcBorders>
          </w:tcPr>
          <w:p w:rsidR="00C941F7" w:rsidRPr="008A1BD9" w:rsidRDefault="00C941F7" w:rsidP="00D10CED">
            <w:pPr>
              <w:spacing w:after="0" w:line="240" w:lineRule="auto"/>
              <w:rPr>
                <w:sz w:val="18"/>
                <w:szCs w:val="18"/>
              </w:rPr>
            </w:pPr>
            <w:r w:rsidRPr="008A1BD9">
              <w:rPr>
                <w:b/>
                <w:sz w:val="18"/>
                <w:szCs w:val="18"/>
                <w:u w:val="single"/>
              </w:rPr>
              <w:t>P</w:t>
            </w:r>
            <w:r w:rsidRPr="008A1BD9">
              <w:rPr>
                <w:sz w:val="18"/>
                <w:szCs w:val="18"/>
              </w:rPr>
              <w:t xml:space="preserve"> A1–A2–A3-A4</w:t>
            </w:r>
          </w:p>
        </w:tc>
        <w:tc>
          <w:tcPr>
            <w:tcW w:w="850" w:type="dxa"/>
            <w:gridSpan w:val="3"/>
            <w:tcBorders>
              <w:bottom w:val="single" w:sz="12" w:space="0" w:color="auto"/>
            </w:tcBorders>
          </w:tcPr>
          <w:p w:rsidR="00C941F7" w:rsidRPr="008A1BD9" w:rsidRDefault="00C941F7" w:rsidP="00D10CED">
            <w:pPr>
              <w:spacing w:after="0" w:line="240" w:lineRule="auto"/>
              <w:rPr>
                <w:b/>
                <w:sz w:val="18"/>
                <w:szCs w:val="18"/>
                <w:u w:val="single"/>
              </w:rPr>
            </w:pPr>
            <w:r w:rsidRPr="008A1BD9">
              <w:rPr>
                <w:b/>
                <w:sz w:val="18"/>
                <w:szCs w:val="18"/>
                <w:u w:val="single"/>
              </w:rPr>
              <w:t>N</w:t>
            </w:r>
          </w:p>
        </w:tc>
        <w:tc>
          <w:tcPr>
            <w:tcW w:w="989" w:type="dxa"/>
            <w:gridSpan w:val="3"/>
            <w:tcBorders>
              <w:bottom w:val="single" w:sz="12" w:space="0" w:color="auto"/>
            </w:tcBorders>
          </w:tcPr>
          <w:p w:rsidR="00C941F7" w:rsidRPr="008A1BD9" w:rsidRDefault="00C941F7" w:rsidP="00D10CED">
            <w:pPr>
              <w:spacing w:after="0" w:line="240" w:lineRule="auto"/>
              <w:rPr>
                <w:sz w:val="18"/>
                <w:szCs w:val="18"/>
              </w:rPr>
            </w:pPr>
            <w:r w:rsidRPr="008A1BD9">
              <w:rPr>
                <w:b/>
                <w:sz w:val="18"/>
                <w:szCs w:val="18"/>
                <w:u w:val="single"/>
              </w:rPr>
              <w:t>N</w:t>
            </w:r>
          </w:p>
        </w:tc>
        <w:tc>
          <w:tcPr>
            <w:tcW w:w="1370" w:type="dxa"/>
            <w:gridSpan w:val="2"/>
            <w:tcBorders>
              <w:bottom w:val="single" w:sz="12" w:space="0" w:color="auto"/>
            </w:tcBorders>
          </w:tcPr>
          <w:p w:rsidR="00C941F7" w:rsidRPr="008A1BD9" w:rsidRDefault="00C941F7" w:rsidP="00D10CED">
            <w:pPr>
              <w:spacing w:after="0" w:line="240" w:lineRule="auto"/>
              <w:rPr>
                <w:b/>
                <w:sz w:val="18"/>
                <w:szCs w:val="18"/>
                <w:u w:val="single"/>
              </w:rPr>
            </w:pPr>
            <w:r w:rsidRPr="008A1BD9">
              <w:rPr>
                <w:b/>
                <w:sz w:val="18"/>
                <w:szCs w:val="18"/>
                <w:u w:val="single"/>
              </w:rPr>
              <w:t>V</w:t>
            </w:r>
          </w:p>
        </w:tc>
        <w:tc>
          <w:tcPr>
            <w:tcW w:w="1501" w:type="dxa"/>
            <w:tcBorders>
              <w:bottom w:val="single" w:sz="12" w:space="0" w:color="auto"/>
            </w:tcBorders>
          </w:tcPr>
          <w:p w:rsidR="00C941F7" w:rsidRPr="008A1BD9" w:rsidRDefault="00C941F7" w:rsidP="00D10CED">
            <w:pPr>
              <w:spacing w:after="0" w:line="240" w:lineRule="auto"/>
              <w:rPr>
                <w:b/>
                <w:sz w:val="18"/>
                <w:szCs w:val="18"/>
                <w:u w:val="single"/>
              </w:rPr>
            </w:pPr>
            <w:r w:rsidRPr="008A1BD9">
              <w:rPr>
                <w:b/>
                <w:sz w:val="18"/>
                <w:szCs w:val="18"/>
                <w:u w:val="single"/>
              </w:rPr>
              <w:t>IV</w:t>
            </w:r>
          </w:p>
        </w:tc>
      </w:tr>
      <w:tr w:rsidR="00C941F7" w:rsidTr="00D10CED">
        <w:tc>
          <w:tcPr>
            <w:tcW w:w="10124" w:type="dxa"/>
            <w:gridSpan w:val="20"/>
            <w:tcBorders>
              <w:top w:val="single" w:sz="12" w:space="0" w:color="auto"/>
            </w:tcBorders>
            <w:shd w:val="pct15" w:color="auto" w:fill="auto"/>
            <w:vAlign w:val="center"/>
          </w:tcPr>
          <w:p w:rsidR="00C941F7" w:rsidRPr="001A2F73" w:rsidRDefault="00C941F7" w:rsidP="00D10CED">
            <w:pPr>
              <w:spacing w:after="0"/>
              <w:rPr>
                <w:b/>
                <w:noProof/>
                <w:sz w:val="20"/>
                <w:szCs w:val="20"/>
                <w:lang w:val="en-US" w:eastAsia="it-IT"/>
              </w:rPr>
            </w:pPr>
            <w:r>
              <w:rPr>
                <w:b/>
                <w:noProof/>
                <w:sz w:val="20"/>
                <w:szCs w:val="20"/>
                <w:lang w:val="en-US" w:eastAsia="it-IT"/>
              </w:rPr>
              <w:t>TRAINING CASE 7</w:t>
            </w:r>
          </w:p>
        </w:tc>
      </w:tr>
      <w:tr w:rsidR="00C941F7" w:rsidTr="00D10CED">
        <w:tc>
          <w:tcPr>
            <w:tcW w:w="10124" w:type="dxa"/>
            <w:gridSpan w:val="20"/>
          </w:tcPr>
          <w:p w:rsidR="00C941F7" w:rsidRDefault="00C941F7" w:rsidP="00D10CED">
            <w:pPr>
              <w:spacing w:before="60" w:after="60"/>
              <w:jc w:val="center"/>
              <w:rPr>
                <w:b/>
                <w:noProof/>
                <w:sz w:val="20"/>
                <w:szCs w:val="20"/>
                <w:u w:val="single"/>
                <w:lang w:val="en-US" w:eastAsia="it-IT"/>
              </w:rPr>
            </w:pPr>
            <w:r w:rsidRPr="007C453D">
              <w:rPr>
                <w:noProof/>
                <w:sz w:val="20"/>
                <w:szCs w:val="20"/>
                <w:lang w:val="en-US"/>
              </w:rPr>
              <w:drawing>
                <wp:inline distT="0" distB="0" distL="0" distR="0" wp14:anchorId="61AD5E44" wp14:editId="53063F14">
                  <wp:extent cx="2833200" cy="3067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3200" cy="3067200"/>
                          </a:xfrm>
                          <a:prstGeom prst="rect">
                            <a:avLst/>
                          </a:prstGeom>
                          <a:noFill/>
                          <a:ln>
                            <a:noFill/>
                          </a:ln>
                        </pic:spPr>
                      </pic:pic>
                    </a:graphicData>
                  </a:graphic>
                </wp:inline>
              </w:drawing>
            </w:r>
          </w:p>
        </w:tc>
      </w:tr>
      <w:tr w:rsidR="00C941F7" w:rsidTr="00D10CED">
        <w:tc>
          <w:tcPr>
            <w:tcW w:w="1526"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Hypodensities</w:t>
            </w:r>
          </w:p>
        </w:tc>
        <w:tc>
          <w:tcPr>
            <w:tcW w:w="1134" w:type="dxa"/>
            <w:gridSpan w:val="2"/>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Black Hole Sign</w:t>
            </w:r>
          </w:p>
        </w:tc>
        <w:tc>
          <w:tcPr>
            <w:tcW w:w="780"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Swirl</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1116"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Satellite</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8"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Island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0"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Fluid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Level</w:t>
            </w:r>
          </w:p>
        </w:tc>
        <w:tc>
          <w:tcPr>
            <w:tcW w:w="989"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Blend</w:t>
            </w:r>
          </w:p>
          <w:p w:rsidR="00C941F7" w:rsidRPr="00A56E9C" w:rsidRDefault="00C941F7" w:rsidP="00D10CED">
            <w:pPr>
              <w:spacing w:after="0" w:line="240" w:lineRule="auto"/>
              <w:rPr>
                <w:b/>
                <w:noProof/>
                <w:sz w:val="18"/>
                <w:szCs w:val="18"/>
                <w:u w:val="single"/>
                <w:lang w:val="en-US" w:eastAsia="it-IT"/>
              </w:rPr>
            </w:pPr>
            <w:r w:rsidRPr="00A56E9C">
              <w:rPr>
                <w:b/>
                <w:sz w:val="18"/>
                <w:szCs w:val="18"/>
              </w:rPr>
              <w:t>Sign</w:t>
            </w:r>
          </w:p>
        </w:tc>
        <w:tc>
          <w:tcPr>
            <w:tcW w:w="1370" w:type="dxa"/>
            <w:gridSpan w:val="2"/>
          </w:tcPr>
          <w:p w:rsidR="00C941F7" w:rsidRPr="00A56E9C" w:rsidRDefault="00C941F7" w:rsidP="00D10CED">
            <w:pPr>
              <w:spacing w:after="0" w:line="240" w:lineRule="auto"/>
              <w:rPr>
                <w:b/>
                <w:noProof/>
                <w:sz w:val="18"/>
                <w:szCs w:val="18"/>
                <w:u w:val="single"/>
                <w:lang w:val="en-US" w:eastAsia="it-IT"/>
              </w:rPr>
            </w:pPr>
            <w:r w:rsidRPr="00A56E9C">
              <w:rPr>
                <w:b/>
                <w:sz w:val="18"/>
                <w:szCs w:val="18"/>
              </w:rPr>
              <w:t>Irregular Shape</w:t>
            </w:r>
          </w:p>
        </w:tc>
        <w:tc>
          <w:tcPr>
            <w:tcW w:w="1501"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rPr>
              <w:t>Heterogeneous Density</w:t>
            </w:r>
          </w:p>
        </w:tc>
      </w:tr>
      <w:tr w:rsidR="00C941F7" w:rsidTr="00D10CED">
        <w:tc>
          <w:tcPr>
            <w:tcW w:w="1526" w:type="dxa"/>
            <w:tcBorders>
              <w:bottom w:val="single" w:sz="12" w:space="0" w:color="auto"/>
            </w:tcBorders>
          </w:tcPr>
          <w:p w:rsidR="00C941F7" w:rsidRPr="008A1BD9" w:rsidRDefault="00C941F7" w:rsidP="00D10CED">
            <w:pPr>
              <w:spacing w:after="40" w:line="240" w:lineRule="auto"/>
              <w:rPr>
                <w:sz w:val="18"/>
                <w:szCs w:val="18"/>
                <w:u w:val="single"/>
              </w:rPr>
            </w:pPr>
            <w:r w:rsidRPr="008A1BD9">
              <w:rPr>
                <w:b/>
                <w:sz w:val="18"/>
                <w:szCs w:val="18"/>
                <w:u w:val="single"/>
              </w:rPr>
              <w:t>N</w:t>
            </w:r>
          </w:p>
        </w:tc>
        <w:tc>
          <w:tcPr>
            <w:tcW w:w="1134" w:type="dxa"/>
            <w:gridSpan w:val="2"/>
            <w:tcBorders>
              <w:bottom w:val="single" w:sz="12" w:space="0" w:color="auto"/>
            </w:tcBorders>
          </w:tcPr>
          <w:p w:rsidR="00C941F7" w:rsidRPr="008A1BD9" w:rsidRDefault="00C941F7" w:rsidP="00D10CED">
            <w:pPr>
              <w:spacing w:after="40" w:line="240" w:lineRule="auto"/>
              <w:rPr>
                <w:sz w:val="18"/>
                <w:szCs w:val="18"/>
                <w:u w:val="single"/>
              </w:rPr>
            </w:pPr>
            <w:r w:rsidRPr="008A1BD9">
              <w:rPr>
                <w:b/>
                <w:sz w:val="18"/>
                <w:szCs w:val="18"/>
                <w:u w:val="single"/>
              </w:rPr>
              <w:t>N</w:t>
            </w:r>
          </w:p>
        </w:tc>
        <w:tc>
          <w:tcPr>
            <w:tcW w:w="780" w:type="dxa"/>
            <w:gridSpan w:val="3"/>
            <w:tcBorders>
              <w:bottom w:val="single" w:sz="12" w:space="0" w:color="auto"/>
            </w:tcBorders>
          </w:tcPr>
          <w:p w:rsidR="00C941F7" w:rsidRPr="008A1BD9" w:rsidRDefault="00C941F7" w:rsidP="00D10CED">
            <w:pPr>
              <w:spacing w:after="40" w:line="240" w:lineRule="auto"/>
              <w:rPr>
                <w:sz w:val="18"/>
                <w:szCs w:val="18"/>
                <w:u w:val="single"/>
              </w:rPr>
            </w:pPr>
            <w:r w:rsidRPr="008A1BD9">
              <w:rPr>
                <w:b/>
                <w:sz w:val="18"/>
                <w:szCs w:val="18"/>
                <w:u w:val="single"/>
              </w:rPr>
              <w:t>N</w:t>
            </w:r>
          </w:p>
        </w:tc>
        <w:tc>
          <w:tcPr>
            <w:tcW w:w="1116" w:type="dxa"/>
            <w:gridSpan w:val="3"/>
            <w:tcBorders>
              <w:bottom w:val="single" w:sz="12" w:space="0" w:color="auto"/>
            </w:tcBorders>
          </w:tcPr>
          <w:p w:rsidR="00C941F7" w:rsidRPr="008A1BD9" w:rsidRDefault="00C941F7" w:rsidP="00D10CED">
            <w:pPr>
              <w:spacing w:after="40" w:line="240" w:lineRule="auto"/>
              <w:rPr>
                <w:sz w:val="18"/>
                <w:szCs w:val="18"/>
                <w:u w:val="single"/>
              </w:rPr>
            </w:pPr>
            <w:r w:rsidRPr="008A1BD9">
              <w:rPr>
                <w:b/>
                <w:sz w:val="18"/>
                <w:szCs w:val="18"/>
                <w:u w:val="single"/>
              </w:rPr>
              <w:t>N</w:t>
            </w:r>
          </w:p>
        </w:tc>
        <w:tc>
          <w:tcPr>
            <w:tcW w:w="858" w:type="dxa"/>
            <w:gridSpan w:val="2"/>
            <w:tcBorders>
              <w:bottom w:val="single" w:sz="12" w:space="0" w:color="auto"/>
            </w:tcBorders>
          </w:tcPr>
          <w:p w:rsidR="00C941F7" w:rsidRPr="008A1BD9" w:rsidRDefault="00C941F7" w:rsidP="00D10CED">
            <w:pPr>
              <w:spacing w:after="40" w:line="240" w:lineRule="auto"/>
              <w:rPr>
                <w:sz w:val="18"/>
                <w:szCs w:val="18"/>
                <w:u w:val="single"/>
              </w:rPr>
            </w:pPr>
            <w:r w:rsidRPr="008A1BD9">
              <w:rPr>
                <w:b/>
                <w:sz w:val="18"/>
                <w:szCs w:val="18"/>
                <w:u w:val="single"/>
              </w:rPr>
              <w:t>N</w:t>
            </w:r>
          </w:p>
        </w:tc>
        <w:tc>
          <w:tcPr>
            <w:tcW w:w="850" w:type="dxa"/>
            <w:gridSpan w:val="3"/>
            <w:tcBorders>
              <w:bottom w:val="single" w:sz="12" w:space="0" w:color="auto"/>
            </w:tcBorders>
          </w:tcPr>
          <w:p w:rsidR="00C941F7" w:rsidRPr="008A1BD9" w:rsidRDefault="00C941F7" w:rsidP="00D10CED">
            <w:pPr>
              <w:spacing w:after="40" w:line="240" w:lineRule="auto"/>
              <w:rPr>
                <w:sz w:val="18"/>
                <w:szCs w:val="18"/>
                <w:u w:val="single"/>
              </w:rPr>
            </w:pPr>
            <w:r w:rsidRPr="008A1BD9">
              <w:rPr>
                <w:b/>
                <w:sz w:val="18"/>
                <w:szCs w:val="18"/>
                <w:u w:val="single"/>
              </w:rPr>
              <w:t>N</w:t>
            </w:r>
          </w:p>
        </w:tc>
        <w:tc>
          <w:tcPr>
            <w:tcW w:w="989" w:type="dxa"/>
            <w:gridSpan w:val="3"/>
            <w:tcBorders>
              <w:bottom w:val="single" w:sz="12" w:space="0" w:color="auto"/>
            </w:tcBorders>
          </w:tcPr>
          <w:p w:rsidR="00C941F7" w:rsidRPr="008A1BD9" w:rsidRDefault="00C941F7" w:rsidP="00D10CED">
            <w:pPr>
              <w:spacing w:after="40" w:line="240" w:lineRule="auto"/>
              <w:rPr>
                <w:sz w:val="18"/>
                <w:szCs w:val="18"/>
                <w:u w:val="single"/>
              </w:rPr>
            </w:pPr>
            <w:r w:rsidRPr="008A1BD9">
              <w:rPr>
                <w:b/>
                <w:sz w:val="18"/>
                <w:szCs w:val="18"/>
                <w:u w:val="single"/>
              </w:rPr>
              <w:t>N</w:t>
            </w:r>
          </w:p>
        </w:tc>
        <w:tc>
          <w:tcPr>
            <w:tcW w:w="1370" w:type="dxa"/>
            <w:gridSpan w:val="2"/>
            <w:tcBorders>
              <w:bottom w:val="single" w:sz="12" w:space="0" w:color="auto"/>
            </w:tcBorders>
          </w:tcPr>
          <w:p w:rsidR="00C941F7" w:rsidRPr="008A1BD9" w:rsidRDefault="00C941F7" w:rsidP="00D10CED">
            <w:pPr>
              <w:spacing w:after="40" w:line="240" w:lineRule="auto"/>
              <w:rPr>
                <w:sz w:val="18"/>
                <w:szCs w:val="18"/>
                <w:u w:val="single"/>
              </w:rPr>
            </w:pPr>
            <w:r w:rsidRPr="008A1BD9">
              <w:rPr>
                <w:b/>
                <w:sz w:val="18"/>
                <w:szCs w:val="18"/>
                <w:u w:val="single"/>
              </w:rPr>
              <w:t>I</w:t>
            </w:r>
          </w:p>
        </w:tc>
        <w:tc>
          <w:tcPr>
            <w:tcW w:w="1501" w:type="dxa"/>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I</w:t>
            </w:r>
          </w:p>
        </w:tc>
      </w:tr>
      <w:tr w:rsidR="00C941F7" w:rsidTr="00D10CED">
        <w:trPr>
          <w:trHeight w:val="64"/>
        </w:trPr>
        <w:tc>
          <w:tcPr>
            <w:tcW w:w="10124" w:type="dxa"/>
            <w:gridSpan w:val="20"/>
            <w:tcBorders>
              <w:top w:val="single" w:sz="12" w:space="0" w:color="auto"/>
              <w:bottom w:val="single" w:sz="6" w:space="0" w:color="auto"/>
            </w:tcBorders>
            <w:shd w:val="pct15" w:color="auto" w:fill="auto"/>
          </w:tcPr>
          <w:p w:rsidR="00C941F7" w:rsidRDefault="00C941F7" w:rsidP="00D10CED">
            <w:pPr>
              <w:spacing w:after="0"/>
              <w:rPr>
                <w:b/>
                <w:noProof/>
                <w:sz w:val="20"/>
                <w:szCs w:val="20"/>
                <w:u w:val="single"/>
                <w:lang w:val="en-US" w:eastAsia="it-IT"/>
              </w:rPr>
            </w:pPr>
            <w:r>
              <w:rPr>
                <w:b/>
                <w:noProof/>
                <w:sz w:val="20"/>
                <w:szCs w:val="20"/>
                <w:lang w:val="en-US" w:eastAsia="it-IT"/>
              </w:rPr>
              <w:t>TRAINING CASE 8</w:t>
            </w:r>
          </w:p>
        </w:tc>
      </w:tr>
      <w:tr w:rsidR="00C941F7" w:rsidTr="00D10CED">
        <w:tc>
          <w:tcPr>
            <w:tcW w:w="10124" w:type="dxa"/>
            <w:gridSpan w:val="20"/>
            <w:tcBorders>
              <w:top w:val="single" w:sz="6" w:space="0" w:color="auto"/>
            </w:tcBorders>
          </w:tcPr>
          <w:p w:rsidR="00C941F7" w:rsidRDefault="00C941F7" w:rsidP="00D10CED">
            <w:pPr>
              <w:spacing w:before="60" w:after="60"/>
              <w:jc w:val="center"/>
              <w:rPr>
                <w:b/>
                <w:noProof/>
                <w:sz w:val="20"/>
                <w:szCs w:val="20"/>
                <w:lang w:val="en-US" w:eastAsia="it-IT"/>
              </w:rPr>
            </w:pPr>
            <w:r w:rsidRPr="007C453D">
              <w:rPr>
                <w:noProof/>
                <w:sz w:val="20"/>
                <w:szCs w:val="20"/>
                <w:lang w:val="en-US"/>
              </w:rPr>
              <w:lastRenderedPageBreak/>
              <w:drawing>
                <wp:inline distT="0" distB="0" distL="0" distR="0" wp14:anchorId="31AEBD14" wp14:editId="179887CD">
                  <wp:extent cx="5432400" cy="3085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2400" cy="3085200"/>
                          </a:xfrm>
                          <a:prstGeom prst="rect">
                            <a:avLst/>
                          </a:prstGeom>
                          <a:noFill/>
                          <a:ln>
                            <a:noFill/>
                          </a:ln>
                        </pic:spPr>
                      </pic:pic>
                    </a:graphicData>
                  </a:graphic>
                </wp:inline>
              </w:drawing>
            </w:r>
          </w:p>
        </w:tc>
      </w:tr>
      <w:tr w:rsidR="00C941F7" w:rsidRPr="001A2F73" w:rsidTr="00D10CED">
        <w:tc>
          <w:tcPr>
            <w:tcW w:w="1526"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Hypodensities</w:t>
            </w:r>
          </w:p>
        </w:tc>
        <w:tc>
          <w:tcPr>
            <w:tcW w:w="1134" w:type="dxa"/>
            <w:gridSpan w:val="2"/>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Black Hole Sign</w:t>
            </w:r>
          </w:p>
        </w:tc>
        <w:tc>
          <w:tcPr>
            <w:tcW w:w="780"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Swirl</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1116"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Satellite</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1081"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Island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0"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Fluid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Level</w:t>
            </w:r>
          </w:p>
        </w:tc>
        <w:tc>
          <w:tcPr>
            <w:tcW w:w="766"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Blend</w:t>
            </w:r>
          </w:p>
          <w:p w:rsidR="00C941F7" w:rsidRPr="00A56E9C" w:rsidRDefault="00C941F7" w:rsidP="00D10CED">
            <w:pPr>
              <w:spacing w:after="0" w:line="240" w:lineRule="auto"/>
              <w:rPr>
                <w:b/>
                <w:noProof/>
                <w:sz w:val="18"/>
                <w:szCs w:val="18"/>
                <w:u w:val="single"/>
                <w:lang w:val="en-US" w:eastAsia="it-IT"/>
              </w:rPr>
            </w:pPr>
            <w:r w:rsidRPr="00A56E9C">
              <w:rPr>
                <w:b/>
                <w:sz w:val="18"/>
                <w:szCs w:val="18"/>
              </w:rPr>
              <w:t>Sign</w:t>
            </w:r>
          </w:p>
        </w:tc>
        <w:tc>
          <w:tcPr>
            <w:tcW w:w="1370" w:type="dxa"/>
            <w:gridSpan w:val="2"/>
          </w:tcPr>
          <w:p w:rsidR="00C941F7" w:rsidRPr="00A56E9C" w:rsidRDefault="00C941F7" w:rsidP="00D10CED">
            <w:pPr>
              <w:spacing w:after="0" w:line="240" w:lineRule="auto"/>
              <w:rPr>
                <w:b/>
                <w:noProof/>
                <w:sz w:val="18"/>
                <w:szCs w:val="18"/>
                <w:u w:val="single"/>
                <w:lang w:val="en-US" w:eastAsia="it-IT"/>
              </w:rPr>
            </w:pPr>
            <w:r w:rsidRPr="00A56E9C">
              <w:rPr>
                <w:b/>
                <w:sz w:val="18"/>
                <w:szCs w:val="18"/>
              </w:rPr>
              <w:t>Irregular Shape</w:t>
            </w:r>
          </w:p>
        </w:tc>
        <w:tc>
          <w:tcPr>
            <w:tcW w:w="1501"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rPr>
              <w:t>Heterogeneous Density</w:t>
            </w:r>
          </w:p>
        </w:tc>
      </w:tr>
      <w:tr w:rsidR="00C941F7" w:rsidTr="00D10CED">
        <w:tc>
          <w:tcPr>
            <w:tcW w:w="1526" w:type="dxa"/>
            <w:tcBorders>
              <w:bottom w:val="single" w:sz="12" w:space="0" w:color="auto"/>
            </w:tcBorders>
          </w:tcPr>
          <w:p w:rsidR="00C941F7" w:rsidRPr="008A1BD9" w:rsidRDefault="00C941F7" w:rsidP="00D10CED">
            <w:pPr>
              <w:spacing w:after="0" w:line="240" w:lineRule="auto"/>
              <w:rPr>
                <w:sz w:val="18"/>
                <w:szCs w:val="18"/>
                <w:u w:val="single"/>
              </w:rPr>
            </w:pPr>
            <w:r w:rsidRPr="008A1BD9">
              <w:rPr>
                <w:b/>
                <w:sz w:val="18"/>
                <w:szCs w:val="18"/>
                <w:u w:val="single"/>
              </w:rPr>
              <w:t>N</w:t>
            </w:r>
          </w:p>
        </w:tc>
        <w:tc>
          <w:tcPr>
            <w:tcW w:w="1134" w:type="dxa"/>
            <w:gridSpan w:val="2"/>
            <w:tcBorders>
              <w:bottom w:val="single" w:sz="12" w:space="0" w:color="auto"/>
            </w:tcBorders>
          </w:tcPr>
          <w:p w:rsidR="00C941F7" w:rsidRPr="008A1BD9" w:rsidRDefault="00C941F7" w:rsidP="00D10CED">
            <w:pPr>
              <w:spacing w:after="0" w:line="240" w:lineRule="auto"/>
              <w:rPr>
                <w:sz w:val="18"/>
                <w:szCs w:val="18"/>
                <w:u w:val="single"/>
              </w:rPr>
            </w:pPr>
            <w:r w:rsidRPr="008A1BD9">
              <w:rPr>
                <w:b/>
                <w:sz w:val="18"/>
                <w:szCs w:val="18"/>
                <w:u w:val="single"/>
              </w:rPr>
              <w:t>N</w:t>
            </w:r>
          </w:p>
        </w:tc>
        <w:tc>
          <w:tcPr>
            <w:tcW w:w="780" w:type="dxa"/>
            <w:gridSpan w:val="3"/>
            <w:tcBorders>
              <w:bottom w:val="single" w:sz="12" w:space="0" w:color="auto"/>
            </w:tcBorders>
          </w:tcPr>
          <w:p w:rsidR="00C941F7" w:rsidRPr="008A1BD9" w:rsidRDefault="00C941F7" w:rsidP="00D10CED">
            <w:pPr>
              <w:spacing w:after="0" w:line="240" w:lineRule="auto"/>
              <w:rPr>
                <w:sz w:val="18"/>
                <w:szCs w:val="18"/>
              </w:rPr>
            </w:pPr>
            <w:r w:rsidRPr="008A1BD9">
              <w:rPr>
                <w:b/>
                <w:sz w:val="18"/>
                <w:szCs w:val="18"/>
                <w:u w:val="single"/>
              </w:rPr>
              <w:t>P</w:t>
            </w:r>
            <w:r w:rsidRPr="008A1BD9">
              <w:rPr>
                <w:sz w:val="18"/>
                <w:szCs w:val="18"/>
              </w:rPr>
              <w:t xml:space="preserve"> A3</w:t>
            </w:r>
          </w:p>
        </w:tc>
        <w:tc>
          <w:tcPr>
            <w:tcW w:w="1116" w:type="dxa"/>
            <w:gridSpan w:val="3"/>
            <w:tcBorders>
              <w:bottom w:val="single" w:sz="12" w:space="0" w:color="auto"/>
            </w:tcBorders>
          </w:tcPr>
          <w:p w:rsidR="00C941F7" w:rsidRPr="008A1BD9" w:rsidRDefault="00C941F7" w:rsidP="00D10CED">
            <w:pPr>
              <w:spacing w:after="0" w:line="240" w:lineRule="auto"/>
              <w:rPr>
                <w:sz w:val="18"/>
                <w:szCs w:val="18"/>
              </w:rPr>
            </w:pPr>
            <w:r w:rsidRPr="008A1BD9">
              <w:rPr>
                <w:b/>
                <w:sz w:val="18"/>
                <w:szCs w:val="18"/>
                <w:u w:val="single"/>
              </w:rPr>
              <w:t>P</w:t>
            </w:r>
            <w:r w:rsidRPr="008A1BD9">
              <w:rPr>
                <w:sz w:val="18"/>
                <w:szCs w:val="18"/>
              </w:rPr>
              <w:t xml:space="preserve"> A1–A2–B1</w:t>
            </w:r>
          </w:p>
        </w:tc>
        <w:tc>
          <w:tcPr>
            <w:tcW w:w="1081" w:type="dxa"/>
            <w:gridSpan w:val="3"/>
            <w:tcBorders>
              <w:bottom w:val="single" w:sz="12" w:space="0" w:color="auto"/>
            </w:tcBorders>
          </w:tcPr>
          <w:p w:rsidR="00C941F7" w:rsidRPr="00341719" w:rsidRDefault="00C941F7" w:rsidP="00D10CED">
            <w:pPr>
              <w:spacing w:after="0" w:line="240" w:lineRule="auto"/>
              <w:rPr>
                <w:b/>
                <w:sz w:val="18"/>
                <w:szCs w:val="18"/>
                <w:lang w:val="en-US"/>
              </w:rPr>
            </w:pPr>
            <w:r w:rsidRPr="00341719">
              <w:rPr>
                <w:b/>
                <w:sz w:val="18"/>
                <w:szCs w:val="18"/>
                <w:u w:val="single"/>
                <w:lang w:val="en-US"/>
              </w:rPr>
              <w:t>N</w:t>
            </w:r>
            <w:r w:rsidRPr="00341719">
              <w:rPr>
                <w:sz w:val="18"/>
                <w:szCs w:val="18"/>
                <w:lang w:val="en-US"/>
              </w:rPr>
              <w:t xml:space="preserve"> (All the small hematomas, are not visible on the same axial slice)</w:t>
            </w:r>
          </w:p>
        </w:tc>
        <w:tc>
          <w:tcPr>
            <w:tcW w:w="850" w:type="dxa"/>
            <w:gridSpan w:val="3"/>
            <w:tcBorders>
              <w:bottom w:val="single" w:sz="12" w:space="0" w:color="auto"/>
            </w:tcBorders>
          </w:tcPr>
          <w:p w:rsidR="00C941F7" w:rsidRPr="008A1BD9" w:rsidRDefault="00C941F7" w:rsidP="00D10CED">
            <w:pPr>
              <w:spacing w:after="0" w:line="240" w:lineRule="auto"/>
              <w:rPr>
                <w:sz w:val="18"/>
                <w:szCs w:val="18"/>
                <w:u w:val="single"/>
              </w:rPr>
            </w:pPr>
            <w:r w:rsidRPr="008A1BD9">
              <w:rPr>
                <w:b/>
                <w:sz w:val="18"/>
                <w:szCs w:val="18"/>
                <w:u w:val="single"/>
              </w:rPr>
              <w:t>N</w:t>
            </w:r>
          </w:p>
        </w:tc>
        <w:tc>
          <w:tcPr>
            <w:tcW w:w="766" w:type="dxa"/>
            <w:gridSpan w:val="2"/>
            <w:tcBorders>
              <w:bottom w:val="single" w:sz="12" w:space="0" w:color="auto"/>
            </w:tcBorders>
          </w:tcPr>
          <w:p w:rsidR="00C941F7" w:rsidRPr="008A1BD9" w:rsidRDefault="00C941F7" w:rsidP="00D10CED">
            <w:pPr>
              <w:spacing w:after="0" w:line="240" w:lineRule="auto"/>
              <w:rPr>
                <w:sz w:val="18"/>
                <w:szCs w:val="18"/>
                <w:u w:val="single"/>
              </w:rPr>
            </w:pPr>
            <w:r w:rsidRPr="008A1BD9">
              <w:rPr>
                <w:b/>
                <w:sz w:val="18"/>
                <w:szCs w:val="18"/>
                <w:u w:val="single"/>
              </w:rPr>
              <w:t>N</w:t>
            </w:r>
          </w:p>
        </w:tc>
        <w:tc>
          <w:tcPr>
            <w:tcW w:w="1370" w:type="dxa"/>
            <w:gridSpan w:val="2"/>
            <w:tcBorders>
              <w:bottom w:val="single" w:sz="12" w:space="0" w:color="auto"/>
            </w:tcBorders>
          </w:tcPr>
          <w:p w:rsidR="00C941F7" w:rsidRPr="008A1BD9" w:rsidRDefault="00C941F7" w:rsidP="00D10CED">
            <w:pPr>
              <w:spacing w:after="0" w:line="240" w:lineRule="auto"/>
              <w:rPr>
                <w:b/>
                <w:sz w:val="18"/>
                <w:szCs w:val="18"/>
                <w:u w:val="single"/>
              </w:rPr>
            </w:pPr>
            <w:r w:rsidRPr="008A1BD9">
              <w:rPr>
                <w:b/>
                <w:sz w:val="18"/>
                <w:szCs w:val="18"/>
                <w:u w:val="single"/>
              </w:rPr>
              <w:t>V</w:t>
            </w:r>
          </w:p>
        </w:tc>
        <w:tc>
          <w:tcPr>
            <w:tcW w:w="1501" w:type="dxa"/>
            <w:tcBorders>
              <w:bottom w:val="single" w:sz="12" w:space="0" w:color="auto"/>
            </w:tcBorders>
          </w:tcPr>
          <w:p w:rsidR="00C941F7" w:rsidRPr="008A1BD9" w:rsidRDefault="00C941F7" w:rsidP="00D10CED">
            <w:pPr>
              <w:spacing w:after="0" w:line="240" w:lineRule="auto"/>
              <w:rPr>
                <w:b/>
                <w:sz w:val="18"/>
                <w:szCs w:val="18"/>
                <w:u w:val="single"/>
              </w:rPr>
            </w:pPr>
            <w:r w:rsidRPr="008A1BD9">
              <w:rPr>
                <w:b/>
                <w:sz w:val="18"/>
                <w:szCs w:val="18"/>
                <w:u w:val="single"/>
              </w:rPr>
              <w:t>II</w:t>
            </w:r>
          </w:p>
        </w:tc>
      </w:tr>
      <w:tr w:rsidR="00C941F7" w:rsidTr="00D10CED">
        <w:tc>
          <w:tcPr>
            <w:tcW w:w="10124" w:type="dxa"/>
            <w:gridSpan w:val="20"/>
            <w:tcBorders>
              <w:top w:val="single" w:sz="12" w:space="0" w:color="auto"/>
            </w:tcBorders>
            <w:shd w:val="pct15" w:color="auto" w:fill="auto"/>
            <w:vAlign w:val="center"/>
          </w:tcPr>
          <w:p w:rsidR="00C941F7" w:rsidRPr="001A2F73" w:rsidRDefault="00C941F7" w:rsidP="00D10CED">
            <w:pPr>
              <w:spacing w:after="0"/>
              <w:rPr>
                <w:b/>
                <w:noProof/>
                <w:sz w:val="20"/>
                <w:szCs w:val="20"/>
                <w:lang w:val="en-US" w:eastAsia="it-IT"/>
              </w:rPr>
            </w:pPr>
            <w:r>
              <w:rPr>
                <w:b/>
                <w:noProof/>
                <w:sz w:val="20"/>
                <w:szCs w:val="20"/>
                <w:lang w:val="en-US" w:eastAsia="it-IT"/>
              </w:rPr>
              <w:t>TRAINING CASE 9</w:t>
            </w:r>
          </w:p>
        </w:tc>
      </w:tr>
      <w:tr w:rsidR="00C941F7" w:rsidTr="00D10CED">
        <w:tc>
          <w:tcPr>
            <w:tcW w:w="10124" w:type="dxa"/>
            <w:gridSpan w:val="20"/>
          </w:tcPr>
          <w:p w:rsidR="00C941F7" w:rsidRDefault="00C941F7" w:rsidP="00D10CED">
            <w:pPr>
              <w:spacing w:before="60" w:after="60"/>
              <w:jc w:val="center"/>
              <w:rPr>
                <w:b/>
                <w:noProof/>
                <w:sz w:val="20"/>
                <w:szCs w:val="20"/>
                <w:u w:val="single"/>
                <w:lang w:val="en-US" w:eastAsia="it-IT"/>
              </w:rPr>
            </w:pPr>
            <w:r w:rsidRPr="007C453D">
              <w:rPr>
                <w:noProof/>
                <w:sz w:val="20"/>
                <w:szCs w:val="20"/>
                <w:lang w:val="en-US"/>
              </w:rPr>
              <w:drawing>
                <wp:inline distT="0" distB="0" distL="0" distR="0" wp14:anchorId="519E8DA7" wp14:editId="4AAD12C3">
                  <wp:extent cx="2926800" cy="307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6800" cy="3070800"/>
                          </a:xfrm>
                          <a:prstGeom prst="rect">
                            <a:avLst/>
                          </a:prstGeom>
                          <a:noFill/>
                          <a:ln>
                            <a:noFill/>
                          </a:ln>
                        </pic:spPr>
                      </pic:pic>
                    </a:graphicData>
                  </a:graphic>
                </wp:inline>
              </w:drawing>
            </w:r>
          </w:p>
        </w:tc>
      </w:tr>
      <w:tr w:rsidR="00C941F7" w:rsidTr="00D10CED">
        <w:tc>
          <w:tcPr>
            <w:tcW w:w="1526"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Hypodensities</w:t>
            </w:r>
          </w:p>
        </w:tc>
        <w:tc>
          <w:tcPr>
            <w:tcW w:w="1276" w:type="dxa"/>
            <w:gridSpan w:val="3"/>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Black Hole Sign</w:t>
            </w:r>
          </w:p>
        </w:tc>
        <w:tc>
          <w:tcPr>
            <w:tcW w:w="638"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Swirl</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1116"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Satellite</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8"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Island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0"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Fluid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Level</w:t>
            </w:r>
          </w:p>
        </w:tc>
        <w:tc>
          <w:tcPr>
            <w:tcW w:w="1215" w:type="dxa"/>
            <w:gridSpan w:val="4"/>
          </w:tcPr>
          <w:p w:rsidR="00C941F7" w:rsidRPr="00A56E9C" w:rsidRDefault="00C941F7" w:rsidP="00D10CED">
            <w:pPr>
              <w:spacing w:after="0" w:line="240" w:lineRule="auto"/>
              <w:rPr>
                <w:b/>
                <w:sz w:val="18"/>
                <w:szCs w:val="18"/>
                <w:lang w:val="en-US"/>
              </w:rPr>
            </w:pPr>
            <w:r w:rsidRPr="00A56E9C">
              <w:rPr>
                <w:b/>
                <w:sz w:val="18"/>
                <w:szCs w:val="18"/>
                <w:lang w:val="en-US"/>
              </w:rPr>
              <w:t>Blend</w:t>
            </w:r>
          </w:p>
          <w:p w:rsidR="00C941F7" w:rsidRPr="00A56E9C" w:rsidRDefault="00C941F7" w:rsidP="00D10CED">
            <w:pPr>
              <w:spacing w:after="0" w:line="240" w:lineRule="auto"/>
              <w:rPr>
                <w:b/>
                <w:noProof/>
                <w:sz w:val="18"/>
                <w:szCs w:val="18"/>
                <w:u w:val="single"/>
                <w:lang w:val="en-US" w:eastAsia="it-IT"/>
              </w:rPr>
            </w:pPr>
            <w:r w:rsidRPr="00A56E9C">
              <w:rPr>
                <w:b/>
                <w:sz w:val="18"/>
                <w:szCs w:val="18"/>
              </w:rPr>
              <w:t>Sign</w:t>
            </w:r>
          </w:p>
        </w:tc>
        <w:tc>
          <w:tcPr>
            <w:tcW w:w="1144"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rPr>
              <w:t>Irregular Shape</w:t>
            </w:r>
          </w:p>
        </w:tc>
        <w:tc>
          <w:tcPr>
            <w:tcW w:w="1501"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rPr>
              <w:t>Heterogeneous Density</w:t>
            </w:r>
          </w:p>
        </w:tc>
      </w:tr>
      <w:tr w:rsidR="00C941F7" w:rsidTr="00D10CED">
        <w:tc>
          <w:tcPr>
            <w:tcW w:w="1526" w:type="dxa"/>
            <w:tcBorders>
              <w:bottom w:val="single" w:sz="12" w:space="0" w:color="auto"/>
            </w:tcBorders>
          </w:tcPr>
          <w:p w:rsidR="00C941F7" w:rsidRPr="00341719" w:rsidRDefault="00C941F7" w:rsidP="00D10CED">
            <w:pPr>
              <w:spacing w:after="0" w:line="240" w:lineRule="auto"/>
              <w:rPr>
                <w:sz w:val="18"/>
                <w:szCs w:val="18"/>
                <w:u w:val="single"/>
                <w:lang w:val="en-US"/>
              </w:rPr>
            </w:pPr>
            <w:r w:rsidRPr="00341719">
              <w:rPr>
                <w:b/>
                <w:sz w:val="18"/>
                <w:szCs w:val="18"/>
                <w:u w:val="single"/>
                <w:lang w:val="en-US"/>
              </w:rPr>
              <w:t>P</w:t>
            </w:r>
            <w:r w:rsidRPr="00341719">
              <w:rPr>
                <w:sz w:val="18"/>
                <w:szCs w:val="18"/>
                <w:lang w:val="en-US"/>
              </w:rPr>
              <w:t xml:space="preserve"> A1 (hypodense fluid level is encapsulated in </w:t>
            </w:r>
            <w:r w:rsidRPr="00341719">
              <w:rPr>
                <w:sz w:val="18"/>
                <w:szCs w:val="18"/>
                <w:lang w:val="en-US"/>
              </w:rPr>
              <w:lastRenderedPageBreak/>
              <w:t>the ICH)</w:t>
            </w:r>
          </w:p>
        </w:tc>
        <w:tc>
          <w:tcPr>
            <w:tcW w:w="1276" w:type="dxa"/>
            <w:gridSpan w:val="3"/>
            <w:tcBorders>
              <w:bottom w:val="single" w:sz="12" w:space="0" w:color="auto"/>
            </w:tcBorders>
          </w:tcPr>
          <w:p w:rsidR="00C941F7" w:rsidRDefault="00C941F7" w:rsidP="00D10CED">
            <w:pPr>
              <w:spacing w:after="0" w:line="240" w:lineRule="auto"/>
              <w:rPr>
                <w:sz w:val="18"/>
                <w:szCs w:val="18"/>
                <w:lang w:val="en-US"/>
              </w:rPr>
            </w:pPr>
            <w:r w:rsidRPr="00341719">
              <w:rPr>
                <w:b/>
                <w:sz w:val="18"/>
                <w:szCs w:val="18"/>
                <w:u w:val="single"/>
                <w:lang w:val="en-US"/>
              </w:rPr>
              <w:lastRenderedPageBreak/>
              <w:t>P</w:t>
            </w:r>
            <w:r w:rsidRPr="00341719">
              <w:rPr>
                <w:sz w:val="18"/>
                <w:szCs w:val="18"/>
                <w:lang w:val="en-US"/>
              </w:rPr>
              <w:t xml:space="preserve"> A1</w:t>
            </w:r>
          </w:p>
          <w:p w:rsidR="00C941F7" w:rsidRPr="00341719" w:rsidRDefault="00C941F7" w:rsidP="00D10CED">
            <w:pPr>
              <w:spacing w:after="0" w:line="240" w:lineRule="auto"/>
              <w:rPr>
                <w:sz w:val="18"/>
                <w:szCs w:val="18"/>
                <w:lang w:val="en-US"/>
              </w:rPr>
            </w:pPr>
            <w:r w:rsidRPr="00341719">
              <w:rPr>
                <w:sz w:val="18"/>
                <w:szCs w:val="18"/>
                <w:lang w:val="en-US"/>
              </w:rPr>
              <w:t xml:space="preserve">(hypodense fluid level </w:t>
            </w:r>
            <w:r w:rsidRPr="00341719">
              <w:rPr>
                <w:sz w:val="18"/>
                <w:szCs w:val="18"/>
                <w:lang w:val="en-US"/>
              </w:rPr>
              <w:lastRenderedPageBreak/>
              <w:t>encapsulated in the ICH)</w:t>
            </w:r>
          </w:p>
        </w:tc>
        <w:tc>
          <w:tcPr>
            <w:tcW w:w="638" w:type="dxa"/>
            <w:gridSpan w:val="2"/>
            <w:tcBorders>
              <w:bottom w:val="single" w:sz="12" w:space="0" w:color="auto"/>
            </w:tcBorders>
          </w:tcPr>
          <w:p w:rsidR="00C941F7" w:rsidRPr="008A1BD9" w:rsidRDefault="00C941F7" w:rsidP="00D10CED">
            <w:pPr>
              <w:spacing w:after="0" w:line="240" w:lineRule="auto"/>
              <w:rPr>
                <w:sz w:val="18"/>
                <w:szCs w:val="18"/>
              </w:rPr>
            </w:pPr>
            <w:r w:rsidRPr="008A1BD9">
              <w:rPr>
                <w:b/>
                <w:sz w:val="18"/>
                <w:szCs w:val="18"/>
                <w:u w:val="single"/>
              </w:rPr>
              <w:lastRenderedPageBreak/>
              <w:t>P</w:t>
            </w:r>
            <w:r w:rsidRPr="008A1BD9">
              <w:rPr>
                <w:sz w:val="18"/>
                <w:szCs w:val="18"/>
              </w:rPr>
              <w:t xml:space="preserve"> A1</w:t>
            </w:r>
          </w:p>
        </w:tc>
        <w:tc>
          <w:tcPr>
            <w:tcW w:w="1116" w:type="dxa"/>
            <w:gridSpan w:val="3"/>
            <w:tcBorders>
              <w:bottom w:val="single" w:sz="12" w:space="0" w:color="auto"/>
            </w:tcBorders>
          </w:tcPr>
          <w:p w:rsidR="00C941F7" w:rsidRPr="008A1BD9" w:rsidRDefault="00C941F7" w:rsidP="00D10CED">
            <w:pPr>
              <w:spacing w:after="0" w:line="240" w:lineRule="auto"/>
              <w:rPr>
                <w:b/>
                <w:sz w:val="18"/>
                <w:szCs w:val="18"/>
                <w:u w:val="single"/>
              </w:rPr>
            </w:pPr>
            <w:r w:rsidRPr="008A1BD9">
              <w:rPr>
                <w:b/>
                <w:sz w:val="18"/>
                <w:szCs w:val="18"/>
                <w:u w:val="single"/>
              </w:rPr>
              <w:t>N</w:t>
            </w:r>
          </w:p>
        </w:tc>
        <w:tc>
          <w:tcPr>
            <w:tcW w:w="858" w:type="dxa"/>
            <w:gridSpan w:val="2"/>
            <w:tcBorders>
              <w:bottom w:val="single" w:sz="12" w:space="0" w:color="auto"/>
            </w:tcBorders>
          </w:tcPr>
          <w:p w:rsidR="00C941F7" w:rsidRPr="008A1BD9" w:rsidRDefault="00C941F7" w:rsidP="00D10CED">
            <w:pPr>
              <w:spacing w:after="0" w:line="240" w:lineRule="auto"/>
              <w:rPr>
                <w:sz w:val="18"/>
                <w:szCs w:val="18"/>
              </w:rPr>
            </w:pPr>
            <w:r w:rsidRPr="008A1BD9">
              <w:rPr>
                <w:b/>
                <w:sz w:val="18"/>
                <w:szCs w:val="18"/>
                <w:u w:val="single"/>
              </w:rPr>
              <w:t>N</w:t>
            </w:r>
          </w:p>
        </w:tc>
        <w:tc>
          <w:tcPr>
            <w:tcW w:w="850" w:type="dxa"/>
            <w:gridSpan w:val="3"/>
            <w:tcBorders>
              <w:bottom w:val="single" w:sz="12" w:space="0" w:color="auto"/>
            </w:tcBorders>
          </w:tcPr>
          <w:p w:rsidR="00C941F7" w:rsidRPr="008A1BD9" w:rsidRDefault="00C941F7" w:rsidP="00D10CED">
            <w:pPr>
              <w:spacing w:after="0" w:line="240" w:lineRule="auto"/>
              <w:rPr>
                <w:sz w:val="18"/>
                <w:szCs w:val="18"/>
              </w:rPr>
            </w:pPr>
            <w:r w:rsidRPr="008A1BD9">
              <w:rPr>
                <w:b/>
                <w:sz w:val="18"/>
                <w:szCs w:val="18"/>
                <w:u w:val="single"/>
              </w:rPr>
              <w:t>P</w:t>
            </w:r>
            <w:r w:rsidRPr="008A1BD9">
              <w:rPr>
                <w:sz w:val="18"/>
                <w:szCs w:val="18"/>
              </w:rPr>
              <w:t xml:space="preserve"> A1</w:t>
            </w:r>
          </w:p>
        </w:tc>
        <w:tc>
          <w:tcPr>
            <w:tcW w:w="1215" w:type="dxa"/>
            <w:gridSpan w:val="4"/>
            <w:tcBorders>
              <w:bottom w:val="single" w:sz="12" w:space="0" w:color="auto"/>
            </w:tcBorders>
          </w:tcPr>
          <w:p w:rsidR="00C941F7" w:rsidRPr="00341719" w:rsidRDefault="00C941F7" w:rsidP="00D10CED">
            <w:pPr>
              <w:spacing w:after="0" w:line="240" w:lineRule="auto"/>
              <w:rPr>
                <w:sz w:val="18"/>
                <w:szCs w:val="18"/>
                <w:lang w:val="en-US"/>
              </w:rPr>
            </w:pPr>
            <w:r w:rsidRPr="00341719">
              <w:rPr>
                <w:b/>
                <w:sz w:val="18"/>
                <w:szCs w:val="18"/>
                <w:u w:val="single"/>
                <w:lang w:val="en-US"/>
              </w:rPr>
              <w:t>N</w:t>
            </w:r>
            <w:r w:rsidRPr="00341719">
              <w:rPr>
                <w:b/>
                <w:sz w:val="18"/>
                <w:szCs w:val="18"/>
                <w:lang w:val="en-US"/>
              </w:rPr>
              <w:t xml:space="preserve"> </w:t>
            </w:r>
            <w:r w:rsidRPr="00341719">
              <w:rPr>
                <w:sz w:val="18"/>
                <w:szCs w:val="18"/>
                <w:lang w:val="en-US"/>
              </w:rPr>
              <w:t xml:space="preserve">(hypoattenuating area </w:t>
            </w:r>
            <w:r w:rsidRPr="00341719">
              <w:rPr>
                <w:sz w:val="18"/>
                <w:szCs w:val="18"/>
                <w:lang w:val="en-US"/>
              </w:rPr>
              <w:lastRenderedPageBreak/>
              <w:t>cannot be encapsulated in the ICH)</w:t>
            </w:r>
          </w:p>
        </w:tc>
        <w:tc>
          <w:tcPr>
            <w:tcW w:w="1144" w:type="dxa"/>
            <w:tcBorders>
              <w:bottom w:val="single" w:sz="12" w:space="0" w:color="auto"/>
            </w:tcBorders>
          </w:tcPr>
          <w:p w:rsidR="00C941F7" w:rsidRPr="008A1BD9" w:rsidRDefault="00C941F7" w:rsidP="00D10CED">
            <w:pPr>
              <w:spacing w:after="0" w:line="240" w:lineRule="auto"/>
              <w:rPr>
                <w:b/>
                <w:sz w:val="18"/>
                <w:szCs w:val="18"/>
                <w:u w:val="single"/>
              </w:rPr>
            </w:pPr>
            <w:r w:rsidRPr="008A1BD9">
              <w:rPr>
                <w:b/>
                <w:sz w:val="18"/>
                <w:szCs w:val="18"/>
                <w:u w:val="single"/>
              </w:rPr>
              <w:lastRenderedPageBreak/>
              <w:t>III</w:t>
            </w:r>
          </w:p>
        </w:tc>
        <w:tc>
          <w:tcPr>
            <w:tcW w:w="1501" w:type="dxa"/>
            <w:tcBorders>
              <w:bottom w:val="single" w:sz="12" w:space="0" w:color="auto"/>
            </w:tcBorders>
          </w:tcPr>
          <w:p w:rsidR="00C941F7" w:rsidRPr="008A1BD9" w:rsidRDefault="00C941F7" w:rsidP="00D10CED">
            <w:pPr>
              <w:spacing w:after="0" w:line="240" w:lineRule="auto"/>
              <w:rPr>
                <w:sz w:val="18"/>
                <w:szCs w:val="18"/>
              </w:rPr>
            </w:pPr>
            <w:r w:rsidRPr="008A1BD9">
              <w:rPr>
                <w:b/>
                <w:sz w:val="18"/>
                <w:szCs w:val="18"/>
                <w:u w:val="single"/>
              </w:rPr>
              <w:t>III</w:t>
            </w:r>
          </w:p>
        </w:tc>
      </w:tr>
      <w:tr w:rsidR="00C941F7" w:rsidTr="00D10CED">
        <w:trPr>
          <w:trHeight w:val="64"/>
        </w:trPr>
        <w:tc>
          <w:tcPr>
            <w:tcW w:w="10124" w:type="dxa"/>
            <w:gridSpan w:val="20"/>
            <w:tcBorders>
              <w:top w:val="single" w:sz="12" w:space="0" w:color="auto"/>
              <w:bottom w:val="single" w:sz="6" w:space="0" w:color="auto"/>
            </w:tcBorders>
            <w:shd w:val="pct15" w:color="auto" w:fill="auto"/>
          </w:tcPr>
          <w:p w:rsidR="00C941F7" w:rsidRDefault="00C941F7" w:rsidP="00D10CED">
            <w:pPr>
              <w:spacing w:after="0"/>
              <w:rPr>
                <w:b/>
                <w:noProof/>
                <w:sz w:val="20"/>
                <w:szCs w:val="20"/>
                <w:u w:val="single"/>
                <w:lang w:val="en-US" w:eastAsia="it-IT"/>
              </w:rPr>
            </w:pPr>
            <w:r>
              <w:rPr>
                <w:b/>
                <w:noProof/>
                <w:sz w:val="20"/>
                <w:szCs w:val="20"/>
                <w:lang w:val="en-US" w:eastAsia="it-IT"/>
              </w:rPr>
              <w:t>TRAINING CASE 10</w:t>
            </w:r>
          </w:p>
        </w:tc>
      </w:tr>
      <w:tr w:rsidR="00C941F7" w:rsidTr="00D10CED">
        <w:tc>
          <w:tcPr>
            <w:tcW w:w="10124" w:type="dxa"/>
            <w:gridSpan w:val="20"/>
            <w:tcBorders>
              <w:top w:val="single" w:sz="6" w:space="0" w:color="auto"/>
            </w:tcBorders>
          </w:tcPr>
          <w:p w:rsidR="00C941F7" w:rsidRDefault="00C941F7" w:rsidP="00D10CED">
            <w:pPr>
              <w:spacing w:before="60" w:after="60"/>
              <w:jc w:val="center"/>
              <w:rPr>
                <w:b/>
                <w:noProof/>
                <w:sz w:val="20"/>
                <w:szCs w:val="20"/>
                <w:lang w:val="en-US" w:eastAsia="it-IT"/>
              </w:rPr>
            </w:pPr>
            <w:r w:rsidRPr="007C453D">
              <w:rPr>
                <w:noProof/>
                <w:sz w:val="20"/>
                <w:szCs w:val="20"/>
                <w:lang w:val="en-US"/>
              </w:rPr>
              <w:drawing>
                <wp:inline distT="0" distB="0" distL="0" distR="0" wp14:anchorId="6CB5AD89" wp14:editId="10CF53CA">
                  <wp:extent cx="2926800" cy="308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6800" cy="3081600"/>
                          </a:xfrm>
                          <a:prstGeom prst="rect">
                            <a:avLst/>
                          </a:prstGeom>
                          <a:noFill/>
                          <a:ln>
                            <a:noFill/>
                          </a:ln>
                        </pic:spPr>
                      </pic:pic>
                    </a:graphicData>
                  </a:graphic>
                </wp:inline>
              </w:drawing>
            </w:r>
          </w:p>
        </w:tc>
      </w:tr>
      <w:tr w:rsidR="00C941F7" w:rsidRPr="001A2F73" w:rsidTr="00D10CED">
        <w:tc>
          <w:tcPr>
            <w:tcW w:w="1526"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Hypodensities</w:t>
            </w:r>
          </w:p>
        </w:tc>
        <w:tc>
          <w:tcPr>
            <w:tcW w:w="1134" w:type="dxa"/>
            <w:gridSpan w:val="2"/>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Black Hole Sign</w:t>
            </w:r>
          </w:p>
        </w:tc>
        <w:tc>
          <w:tcPr>
            <w:tcW w:w="780"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Swirl</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1116"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Satellite</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8"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Island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0"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Fluid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Level</w:t>
            </w:r>
          </w:p>
        </w:tc>
        <w:tc>
          <w:tcPr>
            <w:tcW w:w="989"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Blend</w:t>
            </w:r>
          </w:p>
          <w:p w:rsidR="00C941F7" w:rsidRPr="00A56E9C" w:rsidRDefault="00C941F7" w:rsidP="00D10CED">
            <w:pPr>
              <w:spacing w:after="0" w:line="240" w:lineRule="auto"/>
              <w:rPr>
                <w:b/>
                <w:noProof/>
                <w:sz w:val="18"/>
                <w:szCs w:val="18"/>
                <w:u w:val="single"/>
                <w:lang w:val="en-US" w:eastAsia="it-IT"/>
              </w:rPr>
            </w:pPr>
            <w:r w:rsidRPr="00A56E9C">
              <w:rPr>
                <w:b/>
                <w:sz w:val="18"/>
                <w:szCs w:val="18"/>
              </w:rPr>
              <w:t>Sign</w:t>
            </w:r>
          </w:p>
        </w:tc>
        <w:tc>
          <w:tcPr>
            <w:tcW w:w="1370" w:type="dxa"/>
            <w:gridSpan w:val="2"/>
          </w:tcPr>
          <w:p w:rsidR="00C941F7" w:rsidRPr="00A56E9C" w:rsidRDefault="00C941F7" w:rsidP="00D10CED">
            <w:pPr>
              <w:spacing w:after="0" w:line="240" w:lineRule="auto"/>
              <w:rPr>
                <w:b/>
                <w:noProof/>
                <w:sz w:val="18"/>
                <w:szCs w:val="18"/>
                <w:u w:val="single"/>
                <w:lang w:val="en-US" w:eastAsia="it-IT"/>
              </w:rPr>
            </w:pPr>
            <w:r w:rsidRPr="00A56E9C">
              <w:rPr>
                <w:b/>
                <w:sz w:val="18"/>
                <w:szCs w:val="18"/>
              </w:rPr>
              <w:t>Irregular Shape</w:t>
            </w:r>
          </w:p>
        </w:tc>
        <w:tc>
          <w:tcPr>
            <w:tcW w:w="1501"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rPr>
              <w:t>Heterogeneous Density</w:t>
            </w:r>
          </w:p>
        </w:tc>
      </w:tr>
      <w:tr w:rsidR="00C941F7" w:rsidTr="00D10CED">
        <w:tc>
          <w:tcPr>
            <w:tcW w:w="1526" w:type="dxa"/>
            <w:tcBorders>
              <w:bottom w:val="single" w:sz="12" w:space="0" w:color="auto"/>
            </w:tcBorders>
          </w:tcPr>
          <w:p w:rsidR="00C941F7" w:rsidRPr="008A1BD9" w:rsidRDefault="00C941F7" w:rsidP="00D10CED">
            <w:pPr>
              <w:spacing w:after="40" w:line="240" w:lineRule="auto"/>
              <w:rPr>
                <w:b/>
                <w:sz w:val="18"/>
                <w:szCs w:val="18"/>
                <w:u w:val="single"/>
              </w:rPr>
            </w:pPr>
            <w:r w:rsidRPr="008A1BD9">
              <w:rPr>
                <w:b/>
                <w:sz w:val="18"/>
                <w:szCs w:val="18"/>
                <w:u w:val="single"/>
              </w:rPr>
              <w:t>N</w:t>
            </w:r>
          </w:p>
        </w:tc>
        <w:tc>
          <w:tcPr>
            <w:tcW w:w="1134" w:type="dxa"/>
            <w:gridSpan w:val="2"/>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N</w:t>
            </w:r>
          </w:p>
        </w:tc>
        <w:tc>
          <w:tcPr>
            <w:tcW w:w="780" w:type="dxa"/>
            <w:gridSpan w:val="3"/>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N</w:t>
            </w:r>
          </w:p>
        </w:tc>
        <w:tc>
          <w:tcPr>
            <w:tcW w:w="1116" w:type="dxa"/>
            <w:gridSpan w:val="3"/>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N</w:t>
            </w:r>
          </w:p>
        </w:tc>
        <w:tc>
          <w:tcPr>
            <w:tcW w:w="858" w:type="dxa"/>
            <w:gridSpan w:val="2"/>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N</w:t>
            </w:r>
          </w:p>
        </w:tc>
        <w:tc>
          <w:tcPr>
            <w:tcW w:w="850" w:type="dxa"/>
            <w:gridSpan w:val="3"/>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N</w:t>
            </w:r>
          </w:p>
        </w:tc>
        <w:tc>
          <w:tcPr>
            <w:tcW w:w="989" w:type="dxa"/>
            <w:gridSpan w:val="3"/>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N</w:t>
            </w:r>
          </w:p>
        </w:tc>
        <w:tc>
          <w:tcPr>
            <w:tcW w:w="1370" w:type="dxa"/>
            <w:gridSpan w:val="2"/>
            <w:tcBorders>
              <w:bottom w:val="single" w:sz="12" w:space="0" w:color="auto"/>
            </w:tcBorders>
          </w:tcPr>
          <w:p w:rsidR="00C941F7" w:rsidRPr="008A1BD9" w:rsidRDefault="00C941F7" w:rsidP="00D10CED">
            <w:pPr>
              <w:spacing w:after="40" w:line="240" w:lineRule="auto"/>
              <w:rPr>
                <w:b/>
                <w:sz w:val="18"/>
                <w:szCs w:val="18"/>
                <w:u w:val="single"/>
              </w:rPr>
            </w:pPr>
            <w:r w:rsidRPr="008A1BD9">
              <w:rPr>
                <w:b/>
                <w:sz w:val="18"/>
                <w:szCs w:val="18"/>
                <w:u w:val="single"/>
              </w:rPr>
              <w:t>I</w:t>
            </w:r>
          </w:p>
        </w:tc>
        <w:tc>
          <w:tcPr>
            <w:tcW w:w="1501" w:type="dxa"/>
            <w:tcBorders>
              <w:bottom w:val="single" w:sz="12" w:space="0" w:color="auto"/>
            </w:tcBorders>
          </w:tcPr>
          <w:p w:rsidR="00C941F7" w:rsidRPr="008A1BD9" w:rsidRDefault="00C941F7" w:rsidP="00D10CED">
            <w:pPr>
              <w:spacing w:after="40" w:line="240" w:lineRule="auto"/>
              <w:rPr>
                <w:b/>
                <w:sz w:val="18"/>
                <w:szCs w:val="18"/>
                <w:u w:val="single"/>
              </w:rPr>
            </w:pPr>
            <w:r w:rsidRPr="008A1BD9">
              <w:rPr>
                <w:b/>
                <w:sz w:val="18"/>
                <w:szCs w:val="18"/>
                <w:u w:val="single"/>
              </w:rPr>
              <w:t>I</w:t>
            </w:r>
          </w:p>
        </w:tc>
      </w:tr>
      <w:tr w:rsidR="00C941F7" w:rsidTr="00D10CED">
        <w:tc>
          <w:tcPr>
            <w:tcW w:w="10124" w:type="dxa"/>
            <w:gridSpan w:val="20"/>
            <w:shd w:val="pct15" w:color="auto" w:fill="auto"/>
            <w:vAlign w:val="center"/>
          </w:tcPr>
          <w:p w:rsidR="00C941F7" w:rsidRPr="001A2F73" w:rsidRDefault="00C941F7" w:rsidP="00D10CED">
            <w:pPr>
              <w:spacing w:after="0"/>
              <w:rPr>
                <w:b/>
                <w:noProof/>
                <w:sz w:val="20"/>
                <w:szCs w:val="20"/>
                <w:lang w:val="en-US" w:eastAsia="it-IT"/>
              </w:rPr>
            </w:pPr>
            <w:r>
              <w:rPr>
                <w:b/>
                <w:noProof/>
                <w:sz w:val="20"/>
                <w:szCs w:val="20"/>
                <w:lang w:val="en-US" w:eastAsia="it-IT"/>
              </w:rPr>
              <w:t>TRAINING CASE 11</w:t>
            </w:r>
          </w:p>
        </w:tc>
      </w:tr>
      <w:tr w:rsidR="00C941F7" w:rsidTr="00D10CED">
        <w:tc>
          <w:tcPr>
            <w:tcW w:w="10124" w:type="dxa"/>
            <w:gridSpan w:val="20"/>
          </w:tcPr>
          <w:p w:rsidR="00C941F7" w:rsidRDefault="00C941F7" w:rsidP="00D10CED">
            <w:pPr>
              <w:spacing w:before="60" w:after="60"/>
              <w:jc w:val="center"/>
              <w:rPr>
                <w:b/>
                <w:noProof/>
                <w:sz w:val="20"/>
                <w:szCs w:val="20"/>
                <w:u w:val="single"/>
                <w:lang w:val="en-US" w:eastAsia="it-IT"/>
              </w:rPr>
            </w:pPr>
            <w:r w:rsidRPr="007C453D">
              <w:rPr>
                <w:noProof/>
                <w:sz w:val="20"/>
                <w:szCs w:val="20"/>
                <w:lang w:val="en-US"/>
              </w:rPr>
              <w:drawing>
                <wp:inline distT="0" distB="0" distL="0" distR="0" wp14:anchorId="7CCE18F6" wp14:editId="09A0987F">
                  <wp:extent cx="5162400" cy="2782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62400" cy="2782800"/>
                          </a:xfrm>
                          <a:prstGeom prst="rect">
                            <a:avLst/>
                          </a:prstGeom>
                          <a:noFill/>
                          <a:ln>
                            <a:noFill/>
                          </a:ln>
                        </pic:spPr>
                      </pic:pic>
                    </a:graphicData>
                  </a:graphic>
                </wp:inline>
              </w:drawing>
            </w:r>
          </w:p>
        </w:tc>
      </w:tr>
      <w:tr w:rsidR="00C941F7" w:rsidTr="00D10CED">
        <w:tc>
          <w:tcPr>
            <w:tcW w:w="1668" w:type="dxa"/>
            <w:gridSpan w:val="2"/>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Hypodensities</w:t>
            </w:r>
          </w:p>
        </w:tc>
        <w:tc>
          <w:tcPr>
            <w:tcW w:w="1417" w:type="dxa"/>
            <w:gridSpan w:val="3"/>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Black Hole Sign</w:t>
            </w:r>
          </w:p>
        </w:tc>
        <w:tc>
          <w:tcPr>
            <w:tcW w:w="851"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Swirl</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992"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Satellite</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0"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Island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1"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Fluid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Level</w:t>
            </w:r>
          </w:p>
        </w:tc>
        <w:tc>
          <w:tcPr>
            <w:tcW w:w="850"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Blend</w:t>
            </w:r>
          </w:p>
          <w:p w:rsidR="00C941F7" w:rsidRPr="00A56E9C" w:rsidRDefault="00C941F7" w:rsidP="00D10CED">
            <w:pPr>
              <w:spacing w:after="0" w:line="240" w:lineRule="auto"/>
              <w:rPr>
                <w:b/>
                <w:noProof/>
                <w:sz w:val="18"/>
                <w:szCs w:val="18"/>
                <w:u w:val="single"/>
                <w:lang w:val="en-US" w:eastAsia="it-IT"/>
              </w:rPr>
            </w:pPr>
            <w:r w:rsidRPr="00A56E9C">
              <w:rPr>
                <w:b/>
                <w:sz w:val="18"/>
                <w:szCs w:val="18"/>
              </w:rPr>
              <w:t>Sign</w:t>
            </w:r>
          </w:p>
        </w:tc>
        <w:tc>
          <w:tcPr>
            <w:tcW w:w="1144"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rPr>
              <w:t>Irregular Shape</w:t>
            </w:r>
          </w:p>
        </w:tc>
        <w:tc>
          <w:tcPr>
            <w:tcW w:w="1501"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rPr>
              <w:t>Heterogeneous Density</w:t>
            </w:r>
          </w:p>
        </w:tc>
      </w:tr>
      <w:tr w:rsidR="00C941F7" w:rsidTr="00D10CED">
        <w:tc>
          <w:tcPr>
            <w:tcW w:w="1668" w:type="dxa"/>
            <w:gridSpan w:val="2"/>
            <w:tcBorders>
              <w:bottom w:val="single" w:sz="12" w:space="0" w:color="auto"/>
            </w:tcBorders>
          </w:tcPr>
          <w:p w:rsidR="00C941F7" w:rsidRPr="00341719" w:rsidRDefault="00C941F7" w:rsidP="00D10CED">
            <w:pPr>
              <w:spacing w:after="0" w:line="240" w:lineRule="auto"/>
              <w:rPr>
                <w:sz w:val="18"/>
                <w:szCs w:val="18"/>
                <w:lang w:val="en-US"/>
              </w:rPr>
            </w:pPr>
            <w:r w:rsidRPr="00341719">
              <w:rPr>
                <w:b/>
                <w:sz w:val="18"/>
                <w:szCs w:val="18"/>
                <w:u w:val="single"/>
                <w:lang w:val="en-US"/>
              </w:rPr>
              <w:t>P</w:t>
            </w:r>
            <w:r w:rsidRPr="00341719">
              <w:rPr>
                <w:sz w:val="18"/>
                <w:szCs w:val="18"/>
                <w:lang w:val="en-US"/>
              </w:rPr>
              <w:t xml:space="preserve"> A1–A2–A3</w:t>
            </w:r>
            <w:r w:rsidRPr="008A1BD9">
              <w:rPr>
                <w:sz w:val="18"/>
                <w:szCs w:val="18"/>
                <w:lang w:val="en-US"/>
              </w:rPr>
              <w:t>– A4. (B1 does not qualify for connection with brain parenchyma)</w:t>
            </w:r>
          </w:p>
        </w:tc>
        <w:tc>
          <w:tcPr>
            <w:tcW w:w="1417" w:type="dxa"/>
            <w:gridSpan w:val="3"/>
            <w:tcBorders>
              <w:bottom w:val="single" w:sz="12" w:space="0" w:color="auto"/>
            </w:tcBorders>
          </w:tcPr>
          <w:p w:rsidR="00C941F7" w:rsidRPr="008A1BD9" w:rsidRDefault="00C941F7" w:rsidP="00D10CED">
            <w:pPr>
              <w:spacing w:after="0" w:line="240" w:lineRule="auto"/>
              <w:rPr>
                <w:sz w:val="18"/>
                <w:szCs w:val="18"/>
                <w:lang w:val="en-US"/>
              </w:rPr>
            </w:pPr>
            <w:r w:rsidRPr="00341719">
              <w:rPr>
                <w:b/>
                <w:sz w:val="18"/>
                <w:szCs w:val="18"/>
                <w:u w:val="single"/>
                <w:lang w:val="en-US"/>
              </w:rPr>
              <w:t>P</w:t>
            </w:r>
            <w:r w:rsidRPr="00341719">
              <w:rPr>
                <w:sz w:val="18"/>
                <w:szCs w:val="18"/>
                <w:lang w:val="en-US"/>
              </w:rPr>
              <w:t xml:space="preserve"> A1–A3–</w:t>
            </w:r>
            <w:r w:rsidRPr="008A1BD9">
              <w:rPr>
                <w:sz w:val="18"/>
                <w:szCs w:val="18"/>
                <w:lang w:val="en-US"/>
              </w:rPr>
              <w:t>A4.</w:t>
            </w:r>
            <w:r w:rsidRPr="00341719">
              <w:rPr>
                <w:sz w:val="18"/>
                <w:szCs w:val="18"/>
                <w:lang w:val="en-US"/>
              </w:rPr>
              <w:t xml:space="preserve"> </w:t>
            </w:r>
            <w:r w:rsidRPr="008A1BD9">
              <w:rPr>
                <w:sz w:val="18"/>
                <w:szCs w:val="18"/>
                <w:lang w:val="en-US"/>
              </w:rPr>
              <w:t>(A2 does not meet the 28 HU density delta cutoff)</w:t>
            </w:r>
          </w:p>
        </w:tc>
        <w:tc>
          <w:tcPr>
            <w:tcW w:w="851" w:type="dxa"/>
            <w:gridSpan w:val="2"/>
            <w:tcBorders>
              <w:bottom w:val="single" w:sz="12" w:space="0" w:color="auto"/>
            </w:tcBorders>
          </w:tcPr>
          <w:p w:rsidR="00C941F7" w:rsidRPr="008A1BD9" w:rsidRDefault="00C941F7" w:rsidP="00D10CED">
            <w:pPr>
              <w:spacing w:after="0" w:line="240" w:lineRule="auto"/>
              <w:rPr>
                <w:sz w:val="18"/>
                <w:szCs w:val="18"/>
              </w:rPr>
            </w:pPr>
            <w:r w:rsidRPr="008A1BD9">
              <w:rPr>
                <w:b/>
                <w:sz w:val="18"/>
                <w:szCs w:val="18"/>
                <w:u w:val="single"/>
              </w:rPr>
              <w:t>P</w:t>
            </w:r>
            <w:r w:rsidRPr="008A1BD9">
              <w:rPr>
                <w:sz w:val="18"/>
                <w:szCs w:val="18"/>
              </w:rPr>
              <w:t xml:space="preserve"> A1-A2–A3–A4–</w:t>
            </w:r>
            <w:r w:rsidRPr="008A1BD9">
              <w:rPr>
                <w:sz w:val="18"/>
                <w:szCs w:val="18"/>
                <w:lang w:val="en-US"/>
              </w:rPr>
              <w:t>B1</w:t>
            </w:r>
          </w:p>
        </w:tc>
        <w:tc>
          <w:tcPr>
            <w:tcW w:w="992" w:type="dxa"/>
            <w:gridSpan w:val="3"/>
            <w:tcBorders>
              <w:bottom w:val="single" w:sz="12" w:space="0" w:color="auto"/>
            </w:tcBorders>
          </w:tcPr>
          <w:p w:rsidR="00C941F7" w:rsidRPr="008A1BD9" w:rsidRDefault="00C941F7" w:rsidP="00D10CED">
            <w:pPr>
              <w:spacing w:after="0" w:line="240" w:lineRule="auto"/>
              <w:rPr>
                <w:sz w:val="18"/>
                <w:szCs w:val="18"/>
              </w:rPr>
            </w:pPr>
            <w:r w:rsidRPr="008A1BD9">
              <w:rPr>
                <w:b/>
                <w:sz w:val="18"/>
                <w:szCs w:val="18"/>
                <w:u w:val="single"/>
              </w:rPr>
              <w:t>N</w:t>
            </w:r>
          </w:p>
        </w:tc>
        <w:tc>
          <w:tcPr>
            <w:tcW w:w="850" w:type="dxa"/>
            <w:gridSpan w:val="3"/>
            <w:tcBorders>
              <w:bottom w:val="single" w:sz="12" w:space="0" w:color="auto"/>
            </w:tcBorders>
          </w:tcPr>
          <w:p w:rsidR="00C941F7" w:rsidRPr="008A1BD9" w:rsidRDefault="00C941F7" w:rsidP="00D10CED">
            <w:pPr>
              <w:spacing w:after="0" w:line="240" w:lineRule="auto"/>
              <w:rPr>
                <w:sz w:val="18"/>
                <w:szCs w:val="18"/>
              </w:rPr>
            </w:pPr>
            <w:r w:rsidRPr="008A1BD9">
              <w:rPr>
                <w:b/>
                <w:sz w:val="18"/>
                <w:szCs w:val="18"/>
                <w:u w:val="single"/>
              </w:rPr>
              <w:t>N</w:t>
            </w:r>
          </w:p>
        </w:tc>
        <w:tc>
          <w:tcPr>
            <w:tcW w:w="851" w:type="dxa"/>
            <w:gridSpan w:val="3"/>
            <w:tcBorders>
              <w:bottom w:val="single" w:sz="12" w:space="0" w:color="auto"/>
            </w:tcBorders>
          </w:tcPr>
          <w:p w:rsidR="00C941F7" w:rsidRPr="008A1BD9" w:rsidRDefault="00C941F7" w:rsidP="00D10CED">
            <w:pPr>
              <w:spacing w:after="0" w:line="240" w:lineRule="auto"/>
              <w:rPr>
                <w:sz w:val="18"/>
                <w:szCs w:val="18"/>
              </w:rPr>
            </w:pPr>
            <w:r w:rsidRPr="008A1BD9">
              <w:rPr>
                <w:b/>
                <w:sz w:val="18"/>
                <w:szCs w:val="18"/>
                <w:u w:val="single"/>
              </w:rPr>
              <w:t>N</w:t>
            </w:r>
          </w:p>
        </w:tc>
        <w:tc>
          <w:tcPr>
            <w:tcW w:w="850" w:type="dxa"/>
            <w:gridSpan w:val="2"/>
            <w:tcBorders>
              <w:bottom w:val="single" w:sz="12" w:space="0" w:color="auto"/>
            </w:tcBorders>
          </w:tcPr>
          <w:p w:rsidR="00C941F7" w:rsidRPr="008A1BD9" w:rsidRDefault="00C941F7" w:rsidP="00D10CED">
            <w:pPr>
              <w:spacing w:after="0" w:line="240" w:lineRule="auto"/>
              <w:rPr>
                <w:sz w:val="18"/>
                <w:szCs w:val="18"/>
              </w:rPr>
            </w:pPr>
            <w:r w:rsidRPr="008A1BD9">
              <w:rPr>
                <w:b/>
                <w:sz w:val="18"/>
                <w:szCs w:val="18"/>
                <w:u w:val="single"/>
              </w:rPr>
              <w:t>N</w:t>
            </w:r>
          </w:p>
        </w:tc>
        <w:tc>
          <w:tcPr>
            <w:tcW w:w="1144" w:type="dxa"/>
            <w:tcBorders>
              <w:bottom w:val="single" w:sz="12" w:space="0" w:color="auto"/>
            </w:tcBorders>
          </w:tcPr>
          <w:p w:rsidR="00C941F7" w:rsidRPr="008A1BD9" w:rsidRDefault="00C941F7" w:rsidP="00D10CED">
            <w:pPr>
              <w:spacing w:after="0" w:line="240" w:lineRule="auto"/>
              <w:rPr>
                <w:b/>
                <w:sz w:val="18"/>
                <w:szCs w:val="18"/>
                <w:u w:val="single"/>
              </w:rPr>
            </w:pPr>
            <w:r w:rsidRPr="008A1BD9">
              <w:rPr>
                <w:b/>
                <w:sz w:val="18"/>
                <w:szCs w:val="18"/>
                <w:u w:val="single"/>
              </w:rPr>
              <w:t>V</w:t>
            </w:r>
          </w:p>
        </w:tc>
        <w:tc>
          <w:tcPr>
            <w:tcW w:w="1501" w:type="dxa"/>
            <w:tcBorders>
              <w:bottom w:val="single" w:sz="12" w:space="0" w:color="auto"/>
            </w:tcBorders>
          </w:tcPr>
          <w:p w:rsidR="00C941F7" w:rsidRPr="008A1BD9" w:rsidRDefault="00C941F7" w:rsidP="00D10CED">
            <w:pPr>
              <w:spacing w:after="0" w:line="240" w:lineRule="auto"/>
              <w:rPr>
                <w:sz w:val="18"/>
                <w:szCs w:val="18"/>
              </w:rPr>
            </w:pPr>
            <w:r w:rsidRPr="008A1BD9">
              <w:rPr>
                <w:b/>
                <w:sz w:val="18"/>
                <w:szCs w:val="18"/>
                <w:u w:val="single"/>
              </w:rPr>
              <w:t>V</w:t>
            </w:r>
          </w:p>
        </w:tc>
      </w:tr>
      <w:tr w:rsidR="00C941F7" w:rsidTr="00D10CED">
        <w:trPr>
          <w:trHeight w:val="64"/>
        </w:trPr>
        <w:tc>
          <w:tcPr>
            <w:tcW w:w="10124" w:type="dxa"/>
            <w:gridSpan w:val="20"/>
            <w:tcBorders>
              <w:top w:val="single" w:sz="12" w:space="0" w:color="auto"/>
              <w:bottom w:val="single" w:sz="6" w:space="0" w:color="auto"/>
            </w:tcBorders>
            <w:shd w:val="pct15" w:color="auto" w:fill="auto"/>
          </w:tcPr>
          <w:p w:rsidR="00C941F7" w:rsidRDefault="00C941F7" w:rsidP="00D10CED">
            <w:pPr>
              <w:spacing w:after="0"/>
              <w:rPr>
                <w:b/>
                <w:noProof/>
                <w:sz w:val="20"/>
                <w:szCs w:val="20"/>
                <w:u w:val="single"/>
                <w:lang w:val="en-US" w:eastAsia="it-IT"/>
              </w:rPr>
            </w:pPr>
            <w:r>
              <w:rPr>
                <w:b/>
                <w:noProof/>
                <w:sz w:val="20"/>
                <w:szCs w:val="20"/>
                <w:lang w:val="en-US" w:eastAsia="it-IT"/>
              </w:rPr>
              <w:lastRenderedPageBreak/>
              <w:t>TRAINING CASE 12</w:t>
            </w:r>
          </w:p>
        </w:tc>
      </w:tr>
      <w:tr w:rsidR="00C941F7" w:rsidTr="00D10CED">
        <w:tc>
          <w:tcPr>
            <w:tcW w:w="10124" w:type="dxa"/>
            <w:gridSpan w:val="20"/>
            <w:tcBorders>
              <w:top w:val="single" w:sz="6" w:space="0" w:color="auto"/>
            </w:tcBorders>
          </w:tcPr>
          <w:p w:rsidR="00C941F7" w:rsidRDefault="00C941F7" w:rsidP="00D10CED">
            <w:pPr>
              <w:spacing w:before="60" w:after="60"/>
              <w:jc w:val="center"/>
              <w:rPr>
                <w:b/>
                <w:noProof/>
                <w:sz w:val="20"/>
                <w:szCs w:val="20"/>
                <w:lang w:val="en-US" w:eastAsia="it-IT"/>
              </w:rPr>
            </w:pPr>
            <w:r w:rsidRPr="007C453D">
              <w:rPr>
                <w:noProof/>
                <w:sz w:val="20"/>
                <w:szCs w:val="20"/>
                <w:lang w:val="en-US"/>
              </w:rPr>
              <w:drawing>
                <wp:inline distT="0" distB="0" distL="0" distR="0" wp14:anchorId="7106EED0" wp14:editId="3204A7FC">
                  <wp:extent cx="5374800" cy="299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4800" cy="2998800"/>
                          </a:xfrm>
                          <a:prstGeom prst="rect">
                            <a:avLst/>
                          </a:prstGeom>
                          <a:noFill/>
                          <a:ln>
                            <a:noFill/>
                          </a:ln>
                        </pic:spPr>
                      </pic:pic>
                    </a:graphicData>
                  </a:graphic>
                </wp:inline>
              </w:drawing>
            </w:r>
          </w:p>
        </w:tc>
      </w:tr>
      <w:tr w:rsidR="00C941F7" w:rsidRPr="001A2F73" w:rsidTr="00D10CED">
        <w:tc>
          <w:tcPr>
            <w:tcW w:w="1668" w:type="dxa"/>
            <w:gridSpan w:val="2"/>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Hypodensities</w:t>
            </w:r>
          </w:p>
        </w:tc>
        <w:tc>
          <w:tcPr>
            <w:tcW w:w="1417" w:type="dxa"/>
            <w:gridSpan w:val="3"/>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Black Hole Sign</w:t>
            </w:r>
          </w:p>
        </w:tc>
        <w:tc>
          <w:tcPr>
            <w:tcW w:w="992"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Swirl</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1"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Satellite</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0"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Island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1"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Fluid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Level</w:t>
            </w:r>
          </w:p>
        </w:tc>
        <w:tc>
          <w:tcPr>
            <w:tcW w:w="850"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Blend</w:t>
            </w:r>
          </w:p>
          <w:p w:rsidR="00C941F7" w:rsidRPr="00A56E9C" w:rsidRDefault="00C941F7" w:rsidP="00D10CED">
            <w:pPr>
              <w:spacing w:after="0" w:line="240" w:lineRule="auto"/>
              <w:rPr>
                <w:b/>
                <w:noProof/>
                <w:sz w:val="18"/>
                <w:szCs w:val="18"/>
                <w:u w:val="single"/>
                <w:lang w:val="en-US" w:eastAsia="it-IT"/>
              </w:rPr>
            </w:pPr>
            <w:r w:rsidRPr="00A56E9C">
              <w:rPr>
                <w:b/>
                <w:sz w:val="18"/>
                <w:szCs w:val="18"/>
              </w:rPr>
              <w:t>Sign</w:t>
            </w:r>
          </w:p>
        </w:tc>
        <w:tc>
          <w:tcPr>
            <w:tcW w:w="1144"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rPr>
              <w:t>Irregular Shape</w:t>
            </w:r>
          </w:p>
        </w:tc>
        <w:tc>
          <w:tcPr>
            <w:tcW w:w="1501"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rPr>
              <w:t>Heterogeneous Density</w:t>
            </w:r>
          </w:p>
        </w:tc>
      </w:tr>
      <w:tr w:rsidR="00C941F7" w:rsidTr="00D10CED">
        <w:tc>
          <w:tcPr>
            <w:tcW w:w="1668" w:type="dxa"/>
            <w:gridSpan w:val="2"/>
          </w:tcPr>
          <w:p w:rsidR="00C941F7" w:rsidRPr="00341719" w:rsidRDefault="00C941F7" w:rsidP="00D10CED">
            <w:pPr>
              <w:spacing w:after="0" w:line="240" w:lineRule="auto"/>
              <w:rPr>
                <w:sz w:val="18"/>
                <w:szCs w:val="18"/>
                <w:lang w:val="en-US"/>
              </w:rPr>
            </w:pPr>
            <w:r w:rsidRPr="00341719">
              <w:rPr>
                <w:b/>
                <w:sz w:val="18"/>
                <w:szCs w:val="18"/>
                <w:u w:val="single"/>
                <w:lang w:val="en-US"/>
              </w:rPr>
              <w:t>P</w:t>
            </w:r>
            <w:r w:rsidRPr="00341719">
              <w:rPr>
                <w:sz w:val="18"/>
                <w:szCs w:val="18"/>
                <w:lang w:val="en-US"/>
              </w:rPr>
              <w:t xml:space="preserve"> </w:t>
            </w:r>
            <w:r w:rsidRPr="008A1BD9">
              <w:rPr>
                <w:sz w:val="18"/>
                <w:szCs w:val="18"/>
                <w:lang w:val="en-US"/>
              </w:rPr>
              <w:t xml:space="preserve">A1 – A2 (B1 does not </w:t>
            </w:r>
            <w:proofErr w:type="gramStart"/>
            <w:r w:rsidRPr="008A1BD9">
              <w:rPr>
                <w:sz w:val="18"/>
                <w:szCs w:val="18"/>
                <w:lang w:val="en-US"/>
              </w:rPr>
              <w:t>qualify  for</w:t>
            </w:r>
            <w:proofErr w:type="gramEnd"/>
            <w:r w:rsidRPr="008A1BD9">
              <w:rPr>
                <w:sz w:val="18"/>
                <w:szCs w:val="18"/>
                <w:lang w:val="en-US"/>
              </w:rPr>
              <w:t xml:space="preserve"> connection with brain parenchyma)</w:t>
            </w:r>
          </w:p>
        </w:tc>
        <w:tc>
          <w:tcPr>
            <w:tcW w:w="1417" w:type="dxa"/>
            <w:gridSpan w:val="3"/>
          </w:tcPr>
          <w:p w:rsidR="00C941F7" w:rsidRPr="00341719" w:rsidRDefault="00C941F7" w:rsidP="00D10CED">
            <w:pPr>
              <w:spacing w:after="0" w:line="240" w:lineRule="auto"/>
              <w:rPr>
                <w:sz w:val="18"/>
                <w:szCs w:val="18"/>
                <w:lang w:val="en-US"/>
              </w:rPr>
            </w:pPr>
            <w:r w:rsidRPr="00341719">
              <w:rPr>
                <w:b/>
                <w:sz w:val="18"/>
                <w:szCs w:val="18"/>
                <w:u w:val="single"/>
                <w:lang w:val="en-US"/>
              </w:rPr>
              <w:t>P</w:t>
            </w:r>
            <w:r w:rsidRPr="00341719">
              <w:rPr>
                <w:sz w:val="18"/>
                <w:szCs w:val="18"/>
                <w:u w:val="single"/>
                <w:lang w:val="en-US"/>
              </w:rPr>
              <w:t xml:space="preserve"> </w:t>
            </w:r>
            <w:r w:rsidRPr="008A1BD9">
              <w:rPr>
                <w:sz w:val="18"/>
                <w:szCs w:val="18"/>
                <w:lang w:val="en-US"/>
              </w:rPr>
              <w:t>A</w:t>
            </w:r>
            <w:proofErr w:type="gramStart"/>
            <w:r w:rsidRPr="008A1BD9">
              <w:rPr>
                <w:sz w:val="18"/>
                <w:szCs w:val="18"/>
                <w:lang w:val="en-US"/>
              </w:rPr>
              <w:t>1  (</w:t>
            </w:r>
            <w:proofErr w:type="gramEnd"/>
            <w:r w:rsidRPr="008A1BD9">
              <w:rPr>
                <w:sz w:val="18"/>
                <w:szCs w:val="18"/>
                <w:lang w:val="en-US"/>
              </w:rPr>
              <w:t>A2 does not meet the 28 HU density delta cutoff)</w:t>
            </w:r>
          </w:p>
        </w:tc>
        <w:tc>
          <w:tcPr>
            <w:tcW w:w="992" w:type="dxa"/>
            <w:gridSpan w:val="3"/>
          </w:tcPr>
          <w:p w:rsidR="00C941F7" w:rsidRPr="008A1BD9" w:rsidRDefault="00C941F7" w:rsidP="00D10CED">
            <w:pPr>
              <w:spacing w:after="0" w:line="240" w:lineRule="auto"/>
              <w:rPr>
                <w:sz w:val="18"/>
                <w:szCs w:val="18"/>
              </w:rPr>
            </w:pPr>
            <w:r w:rsidRPr="008A1BD9">
              <w:rPr>
                <w:b/>
                <w:sz w:val="18"/>
                <w:szCs w:val="18"/>
                <w:u w:val="single"/>
              </w:rPr>
              <w:t>P</w:t>
            </w:r>
            <w:r w:rsidRPr="008A1BD9">
              <w:rPr>
                <w:sz w:val="18"/>
                <w:szCs w:val="18"/>
              </w:rPr>
              <w:t xml:space="preserve"> </w:t>
            </w:r>
            <w:r w:rsidRPr="008A1BD9">
              <w:rPr>
                <w:sz w:val="18"/>
                <w:szCs w:val="18"/>
                <w:lang w:val="en-US"/>
              </w:rPr>
              <w:t>A1 - A2 –B1</w:t>
            </w:r>
          </w:p>
        </w:tc>
        <w:tc>
          <w:tcPr>
            <w:tcW w:w="851" w:type="dxa"/>
            <w:gridSpan w:val="2"/>
          </w:tcPr>
          <w:p w:rsidR="00C941F7" w:rsidRPr="008A1BD9" w:rsidRDefault="00C941F7" w:rsidP="00D10CED">
            <w:pPr>
              <w:spacing w:after="0" w:line="240" w:lineRule="auto"/>
              <w:rPr>
                <w:sz w:val="18"/>
                <w:szCs w:val="18"/>
              </w:rPr>
            </w:pPr>
            <w:r w:rsidRPr="008A1BD9">
              <w:rPr>
                <w:b/>
                <w:sz w:val="18"/>
                <w:szCs w:val="18"/>
                <w:u w:val="single"/>
              </w:rPr>
              <w:t>N</w:t>
            </w:r>
          </w:p>
        </w:tc>
        <w:tc>
          <w:tcPr>
            <w:tcW w:w="850" w:type="dxa"/>
            <w:gridSpan w:val="3"/>
          </w:tcPr>
          <w:p w:rsidR="00C941F7" w:rsidRPr="008A1BD9" w:rsidRDefault="00C941F7" w:rsidP="00D10CED">
            <w:pPr>
              <w:spacing w:after="0" w:line="240" w:lineRule="auto"/>
              <w:rPr>
                <w:sz w:val="18"/>
                <w:szCs w:val="18"/>
              </w:rPr>
            </w:pPr>
            <w:r w:rsidRPr="008A1BD9">
              <w:rPr>
                <w:b/>
                <w:sz w:val="18"/>
                <w:szCs w:val="18"/>
                <w:u w:val="single"/>
              </w:rPr>
              <w:t>N</w:t>
            </w:r>
          </w:p>
        </w:tc>
        <w:tc>
          <w:tcPr>
            <w:tcW w:w="851" w:type="dxa"/>
            <w:gridSpan w:val="3"/>
          </w:tcPr>
          <w:p w:rsidR="00C941F7" w:rsidRPr="008A1BD9" w:rsidRDefault="00C941F7" w:rsidP="00D10CED">
            <w:pPr>
              <w:spacing w:after="0" w:line="240" w:lineRule="auto"/>
              <w:rPr>
                <w:sz w:val="18"/>
                <w:szCs w:val="18"/>
              </w:rPr>
            </w:pPr>
            <w:r w:rsidRPr="008A1BD9">
              <w:rPr>
                <w:b/>
                <w:sz w:val="18"/>
                <w:szCs w:val="18"/>
                <w:u w:val="single"/>
              </w:rPr>
              <w:t>N</w:t>
            </w:r>
          </w:p>
        </w:tc>
        <w:tc>
          <w:tcPr>
            <w:tcW w:w="850" w:type="dxa"/>
            <w:gridSpan w:val="2"/>
          </w:tcPr>
          <w:p w:rsidR="00C941F7" w:rsidRPr="008A1BD9" w:rsidRDefault="00C941F7" w:rsidP="00D10CED">
            <w:pPr>
              <w:spacing w:after="0" w:line="240" w:lineRule="auto"/>
              <w:rPr>
                <w:sz w:val="18"/>
                <w:szCs w:val="18"/>
              </w:rPr>
            </w:pPr>
            <w:r w:rsidRPr="008A1BD9">
              <w:rPr>
                <w:b/>
                <w:sz w:val="18"/>
                <w:szCs w:val="18"/>
                <w:u w:val="single"/>
              </w:rPr>
              <w:t>N</w:t>
            </w:r>
          </w:p>
        </w:tc>
        <w:tc>
          <w:tcPr>
            <w:tcW w:w="1144" w:type="dxa"/>
          </w:tcPr>
          <w:p w:rsidR="00C941F7" w:rsidRPr="008A1BD9" w:rsidRDefault="00C941F7" w:rsidP="00D10CED">
            <w:pPr>
              <w:spacing w:after="0" w:line="240" w:lineRule="auto"/>
              <w:rPr>
                <w:b/>
                <w:sz w:val="18"/>
                <w:szCs w:val="18"/>
                <w:u w:val="single"/>
              </w:rPr>
            </w:pPr>
            <w:r w:rsidRPr="008A1BD9">
              <w:rPr>
                <w:b/>
                <w:sz w:val="18"/>
                <w:szCs w:val="18"/>
                <w:u w:val="single"/>
              </w:rPr>
              <w:t>II</w:t>
            </w:r>
          </w:p>
        </w:tc>
        <w:tc>
          <w:tcPr>
            <w:tcW w:w="1501" w:type="dxa"/>
          </w:tcPr>
          <w:p w:rsidR="00C941F7" w:rsidRPr="008A1BD9" w:rsidRDefault="00C941F7" w:rsidP="00D10CED">
            <w:pPr>
              <w:spacing w:after="0" w:line="240" w:lineRule="auto"/>
              <w:rPr>
                <w:b/>
                <w:sz w:val="18"/>
                <w:szCs w:val="18"/>
                <w:u w:val="single"/>
              </w:rPr>
            </w:pPr>
            <w:r w:rsidRPr="008A1BD9">
              <w:rPr>
                <w:b/>
                <w:sz w:val="18"/>
                <w:szCs w:val="18"/>
                <w:u w:val="single"/>
              </w:rPr>
              <w:t>V</w:t>
            </w:r>
          </w:p>
        </w:tc>
      </w:tr>
    </w:tbl>
    <w:p w:rsidR="00C941F7" w:rsidRPr="001A2F73" w:rsidRDefault="00C941F7" w:rsidP="00C941F7">
      <w:pPr>
        <w:rPr>
          <w:sz w:val="20"/>
          <w:szCs w:val="20"/>
          <w:lang w:val="en-US"/>
        </w:rPr>
      </w:pPr>
      <w:r w:rsidRPr="001A2F73">
        <w:rPr>
          <w:sz w:val="20"/>
          <w:szCs w:val="20"/>
          <w:lang w:val="en-US"/>
        </w:rPr>
        <w:tab/>
      </w:r>
    </w:p>
    <w:tbl>
      <w:tblPr>
        <w:tblStyle w:val="TableGrid"/>
        <w:tblW w:w="101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26"/>
        <w:gridCol w:w="1134"/>
        <w:gridCol w:w="283"/>
        <w:gridCol w:w="497"/>
        <w:gridCol w:w="354"/>
        <w:gridCol w:w="762"/>
        <w:gridCol w:w="230"/>
        <w:gridCol w:w="628"/>
        <w:gridCol w:w="364"/>
        <w:gridCol w:w="486"/>
        <w:gridCol w:w="507"/>
        <w:gridCol w:w="482"/>
        <w:gridCol w:w="368"/>
        <w:gridCol w:w="1002"/>
        <w:gridCol w:w="1501"/>
      </w:tblGrid>
      <w:tr w:rsidR="00C941F7" w:rsidTr="00D10CED">
        <w:tc>
          <w:tcPr>
            <w:tcW w:w="10124" w:type="dxa"/>
            <w:gridSpan w:val="15"/>
            <w:shd w:val="pct15" w:color="auto" w:fill="auto"/>
            <w:vAlign w:val="center"/>
          </w:tcPr>
          <w:p w:rsidR="00C941F7" w:rsidRPr="001A2F73" w:rsidRDefault="00C941F7" w:rsidP="00D10CED">
            <w:pPr>
              <w:spacing w:after="0"/>
              <w:rPr>
                <w:b/>
                <w:noProof/>
                <w:sz w:val="20"/>
                <w:szCs w:val="20"/>
                <w:lang w:val="en-US" w:eastAsia="it-IT"/>
              </w:rPr>
            </w:pPr>
            <w:r>
              <w:rPr>
                <w:b/>
                <w:noProof/>
                <w:sz w:val="20"/>
                <w:szCs w:val="20"/>
                <w:lang w:val="en-US" w:eastAsia="it-IT"/>
              </w:rPr>
              <w:t>TRAINING CASE 13</w:t>
            </w:r>
          </w:p>
        </w:tc>
      </w:tr>
      <w:tr w:rsidR="00C941F7" w:rsidTr="00D10CED">
        <w:tc>
          <w:tcPr>
            <w:tcW w:w="10124" w:type="dxa"/>
            <w:gridSpan w:val="15"/>
          </w:tcPr>
          <w:p w:rsidR="00C941F7" w:rsidRDefault="00C941F7" w:rsidP="00D10CED">
            <w:pPr>
              <w:spacing w:before="60" w:after="60"/>
              <w:jc w:val="center"/>
              <w:rPr>
                <w:b/>
                <w:noProof/>
                <w:sz w:val="20"/>
                <w:szCs w:val="20"/>
                <w:u w:val="single"/>
                <w:lang w:val="en-US" w:eastAsia="it-IT"/>
              </w:rPr>
            </w:pPr>
            <w:r w:rsidRPr="007C453D">
              <w:rPr>
                <w:noProof/>
                <w:sz w:val="20"/>
                <w:szCs w:val="20"/>
                <w:lang w:val="en-US"/>
              </w:rPr>
              <w:drawing>
                <wp:inline distT="0" distB="0" distL="0" distR="0" wp14:anchorId="77AD434A" wp14:editId="4CFB586E">
                  <wp:extent cx="3099600" cy="347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9600" cy="3470400"/>
                          </a:xfrm>
                          <a:prstGeom prst="rect">
                            <a:avLst/>
                          </a:prstGeom>
                          <a:noFill/>
                          <a:ln>
                            <a:noFill/>
                          </a:ln>
                        </pic:spPr>
                      </pic:pic>
                    </a:graphicData>
                  </a:graphic>
                </wp:inline>
              </w:drawing>
            </w:r>
          </w:p>
        </w:tc>
      </w:tr>
      <w:tr w:rsidR="00C941F7" w:rsidTr="00D10CED">
        <w:tc>
          <w:tcPr>
            <w:tcW w:w="1526"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Hypodensities</w:t>
            </w:r>
          </w:p>
        </w:tc>
        <w:tc>
          <w:tcPr>
            <w:tcW w:w="1134"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 xml:space="preserve">Black Hole </w:t>
            </w:r>
            <w:r w:rsidRPr="00A56E9C">
              <w:rPr>
                <w:b/>
                <w:sz w:val="18"/>
                <w:szCs w:val="18"/>
                <w:lang w:val="en-US"/>
              </w:rPr>
              <w:lastRenderedPageBreak/>
              <w:t>Sign</w:t>
            </w:r>
          </w:p>
        </w:tc>
        <w:tc>
          <w:tcPr>
            <w:tcW w:w="780" w:type="dxa"/>
            <w:gridSpan w:val="2"/>
          </w:tcPr>
          <w:p w:rsidR="00C941F7" w:rsidRPr="00A56E9C" w:rsidRDefault="00C941F7" w:rsidP="00D10CED">
            <w:pPr>
              <w:spacing w:after="0" w:line="240" w:lineRule="auto"/>
              <w:rPr>
                <w:b/>
                <w:sz w:val="18"/>
                <w:szCs w:val="18"/>
                <w:lang w:val="en-US"/>
              </w:rPr>
            </w:pPr>
            <w:r w:rsidRPr="00A56E9C">
              <w:rPr>
                <w:b/>
                <w:sz w:val="18"/>
                <w:szCs w:val="18"/>
                <w:lang w:val="en-US"/>
              </w:rPr>
              <w:lastRenderedPageBreak/>
              <w:t>Swirl</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lastRenderedPageBreak/>
              <w:t>Sign</w:t>
            </w:r>
          </w:p>
        </w:tc>
        <w:tc>
          <w:tcPr>
            <w:tcW w:w="1116" w:type="dxa"/>
            <w:gridSpan w:val="2"/>
          </w:tcPr>
          <w:p w:rsidR="00C941F7" w:rsidRPr="00A56E9C" w:rsidRDefault="00C941F7" w:rsidP="00D10CED">
            <w:pPr>
              <w:spacing w:after="0" w:line="240" w:lineRule="auto"/>
              <w:rPr>
                <w:b/>
                <w:sz w:val="18"/>
                <w:szCs w:val="18"/>
                <w:lang w:val="en-US"/>
              </w:rPr>
            </w:pPr>
            <w:r w:rsidRPr="00A56E9C">
              <w:rPr>
                <w:b/>
                <w:sz w:val="18"/>
                <w:szCs w:val="18"/>
                <w:lang w:val="en-US"/>
              </w:rPr>
              <w:lastRenderedPageBreak/>
              <w:t>Satellite</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lastRenderedPageBreak/>
              <w:t>Sign</w:t>
            </w:r>
          </w:p>
        </w:tc>
        <w:tc>
          <w:tcPr>
            <w:tcW w:w="858" w:type="dxa"/>
            <w:gridSpan w:val="2"/>
          </w:tcPr>
          <w:p w:rsidR="00C941F7" w:rsidRPr="00A56E9C" w:rsidRDefault="00C941F7" w:rsidP="00D10CED">
            <w:pPr>
              <w:spacing w:after="0" w:line="240" w:lineRule="auto"/>
              <w:rPr>
                <w:b/>
                <w:sz w:val="18"/>
                <w:szCs w:val="18"/>
                <w:lang w:val="en-US"/>
              </w:rPr>
            </w:pPr>
            <w:r w:rsidRPr="00A56E9C">
              <w:rPr>
                <w:b/>
                <w:sz w:val="18"/>
                <w:szCs w:val="18"/>
                <w:lang w:val="en-US"/>
              </w:rPr>
              <w:lastRenderedPageBreak/>
              <w:t>Island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lastRenderedPageBreak/>
              <w:t>Sign</w:t>
            </w:r>
          </w:p>
        </w:tc>
        <w:tc>
          <w:tcPr>
            <w:tcW w:w="850" w:type="dxa"/>
            <w:gridSpan w:val="2"/>
          </w:tcPr>
          <w:p w:rsidR="00C941F7" w:rsidRPr="00A56E9C" w:rsidRDefault="00C941F7" w:rsidP="00D10CED">
            <w:pPr>
              <w:spacing w:after="0" w:line="240" w:lineRule="auto"/>
              <w:rPr>
                <w:b/>
                <w:sz w:val="18"/>
                <w:szCs w:val="18"/>
                <w:lang w:val="en-US"/>
              </w:rPr>
            </w:pPr>
            <w:r w:rsidRPr="00A56E9C">
              <w:rPr>
                <w:b/>
                <w:sz w:val="18"/>
                <w:szCs w:val="18"/>
                <w:lang w:val="en-US"/>
              </w:rPr>
              <w:lastRenderedPageBreak/>
              <w:t>Fluid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lastRenderedPageBreak/>
              <w:t>Level</w:t>
            </w:r>
          </w:p>
        </w:tc>
        <w:tc>
          <w:tcPr>
            <w:tcW w:w="989" w:type="dxa"/>
            <w:gridSpan w:val="2"/>
          </w:tcPr>
          <w:p w:rsidR="00C941F7" w:rsidRPr="00A56E9C" w:rsidRDefault="00C941F7" w:rsidP="00D10CED">
            <w:pPr>
              <w:spacing w:after="0" w:line="240" w:lineRule="auto"/>
              <w:rPr>
                <w:b/>
                <w:sz w:val="18"/>
                <w:szCs w:val="18"/>
                <w:lang w:val="en-US"/>
              </w:rPr>
            </w:pPr>
            <w:r w:rsidRPr="00A56E9C">
              <w:rPr>
                <w:b/>
                <w:sz w:val="18"/>
                <w:szCs w:val="18"/>
                <w:lang w:val="en-US"/>
              </w:rPr>
              <w:lastRenderedPageBreak/>
              <w:t>Blend</w:t>
            </w:r>
          </w:p>
          <w:p w:rsidR="00C941F7" w:rsidRPr="00A56E9C" w:rsidRDefault="00C941F7" w:rsidP="00D10CED">
            <w:pPr>
              <w:spacing w:after="0" w:line="240" w:lineRule="auto"/>
              <w:rPr>
                <w:b/>
                <w:noProof/>
                <w:sz w:val="18"/>
                <w:szCs w:val="18"/>
                <w:u w:val="single"/>
                <w:lang w:val="en-US" w:eastAsia="it-IT"/>
              </w:rPr>
            </w:pPr>
            <w:r w:rsidRPr="00A56E9C">
              <w:rPr>
                <w:b/>
                <w:sz w:val="18"/>
                <w:szCs w:val="18"/>
              </w:rPr>
              <w:lastRenderedPageBreak/>
              <w:t>Sign</w:t>
            </w:r>
          </w:p>
        </w:tc>
        <w:tc>
          <w:tcPr>
            <w:tcW w:w="1370" w:type="dxa"/>
            <w:gridSpan w:val="2"/>
          </w:tcPr>
          <w:p w:rsidR="00C941F7" w:rsidRPr="00A56E9C" w:rsidRDefault="00C941F7" w:rsidP="00D10CED">
            <w:pPr>
              <w:spacing w:after="0" w:line="240" w:lineRule="auto"/>
              <w:rPr>
                <w:b/>
                <w:noProof/>
                <w:sz w:val="18"/>
                <w:szCs w:val="18"/>
                <w:u w:val="single"/>
                <w:lang w:val="en-US" w:eastAsia="it-IT"/>
              </w:rPr>
            </w:pPr>
            <w:r w:rsidRPr="00A56E9C">
              <w:rPr>
                <w:b/>
                <w:sz w:val="18"/>
                <w:szCs w:val="18"/>
              </w:rPr>
              <w:lastRenderedPageBreak/>
              <w:t xml:space="preserve">Irregular </w:t>
            </w:r>
            <w:r w:rsidRPr="00A56E9C">
              <w:rPr>
                <w:b/>
                <w:sz w:val="18"/>
                <w:szCs w:val="18"/>
              </w:rPr>
              <w:lastRenderedPageBreak/>
              <w:t>Shape</w:t>
            </w:r>
          </w:p>
        </w:tc>
        <w:tc>
          <w:tcPr>
            <w:tcW w:w="1501"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rPr>
              <w:lastRenderedPageBreak/>
              <w:t xml:space="preserve">Heterogeneous </w:t>
            </w:r>
            <w:r w:rsidRPr="00A56E9C">
              <w:rPr>
                <w:b/>
                <w:sz w:val="18"/>
                <w:szCs w:val="18"/>
              </w:rPr>
              <w:lastRenderedPageBreak/>
              <w:t>Density</w:t>
            </w:r>
          </w:p>
        </w:tc>
      </w:tr>
      <w:tr w:rsidR="00C941F7" w:rsidTr="00D10CED">
        <w:tc>
          <w:tcPr>
            <w:tcW w:w="1526" w:type="dxa"/>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lastRenderedPageBreak/>
              <w:t>N</w:t>
            </w:r>
          </w:p>
        </w:tc>
        <w:tc>
          <w:tcPr>
            <w:tcW w:w="1134" w:type="dxa"/>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N</w:t>
            </w:r>
          </w:p>
        </w:tc>
        <w:tc>
          <w:tcPr>
            <w:tcW w:w="780" w:type="dxa"/>
            <w:gridSpan w:val="2"/>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N</w:t>
            </w:r>
          </w:p>
        </w:tc>
        <w:tc>
          <w:tcPr>
            <w:tcW w:w="1116" w:type="dxa"/>
            <w:gridSpan w:val="2"/>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N</w:t>
            </w:r>
          </w:p>
        </w:tc>
        <w:tc>
          <w:tcPr>
            <w:tcW w:w="858" w:type="dxa"/>
            <w:gridSpan w:val="2"/>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N</w:t>
            </w:r>
          </w:p>
        </w:tc>
        <w:tc>
          <w:tcPr>
            <w:tcW w:w="850" w:type="dxa"/>
            <w:gridSpan w:val="2"/>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N</w:t>
            </w:r>
          </w:p>
        </w:tc>
        <w:tc>
          <w:tcPr>
            <w:tcW w:w="989" w:type="dxa"/>
            <w:gridSpan w:val="2"/>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N</w:t>
            </w:r>
          </w:p>
        </w:tc>
        <w:tc>
          <w:tcPr>
            <w:tcW w:w="1370" w:type="dxa"/>
            <w:gridSpan w:val="2"/>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I</w:t>
            </w:r>
          </w:p>
        </w:tc>
        <w:tc>
          <w:tcPr>
            <w:tcW w:w="1501" w:type="dxa"/>
            <w:tcBorders>
              <w:bottom w:val="single" w:sz="12" w:space="0" w:color="auto"/>
            </w:tcBorders>
          </w:tcPr>
          <w:p w:rsidR="00C941F7" w:rsidRPr="008A1BD9" w:rsidRDefault="00C941F7" w:rsidP="00D10CED">
            <w:pPr>
              <w:spacing w:after="40" w:line="240" w:lineRule="auto"/>
              <w:rPr>
                <w:b/>
                <w:sz w:val="18"/>
                <w:szCs w:val="18"/>
                <w:u w:val="single"/>
              </w:rPr>
            </w:pPr>
            <w:r w:rsidRPr="008A1BD9">
              <w:rPr>
                <w:b/>
                <w:sz w:val="18"/>
                <w:szCs w:val="18"/>
                <w:u w:val="single"/>
              </w:rPr>
              <w:t>I</w:t>
            </w:r>
          </w:p>
        </w:tc>
      </w:tr>
      <w:tr w:rsidR="00C941F7" w:rsidTr="00D10CED">
        <w:trPr>
          <w:trHeight w:val="64"/>
        </w:trPr>
        <w:tc>
          <w:tcPr>
            <w:tcW w:w="10124" w:type="dxa"/>
            <w:gridSpan w:val="15"/>
            <w:tcBorders>
              <w:top w:val="single" w:sz="12" w:space="0" w:color="auto"/>
              <w:bottom w:val="single" w:sz="6" w:space="0" w:color="auto"/>
            </w:tcBorders>
            <w:shd w:val="pct15" w:color="auto" w:fill="auto"/>
          </w:tcPr>
          <w:p w:rsidR="00C941F7" w:rsidRDefault="00C941F7" w:rsidP="00D10CED">
            <w:pPr>
              <w:spacing w:after="0"/>
              <w:rPr>
                <w:b/>
                <w:noProof/>
                <w:sz w:val="20"/>
                <w:szCs w:val="20"/>
                <w:u w:val="single"/>
                <w:lang w:val="en-US" w:eastAsia="it-IT"/>
              </w:rPr>
            </w:pPr>
            <w:r>
              <w:rPr>
                <w:b/>
                <w:noProof/>
                <w:sz w:val="20"/>
                <w:szCs w:val="20"/>
                <w:lang w:val="en-US" w:eastAsia="it-IT"/>
              </w:rPr>
              <w:t>TRAINING CASE 14</w:t>
            </w:r>
          </w:p>
        </w:tc>
      </w:tr>
      <w:tr w:rsidR="00C941F7" w:rsidTr="00D10CED">
        <w:tc>
          <w:tcPr>
            <w:tcW w:w="10124" w:type="dxa"/>
            <w:gridSpan w:val="15"/>
            <w:tcBorders>
              <w:top w:val="single" w:sz="6" w:space="0" w:color="auto"/>
            </w:tcBorders>
          </w:tcPr>
          <w:p w:rsidR="00C941F7" w:rsidRDefault="00C941F7" w:rsidP="00D10CED">
            <w:pPr>
              <w:spacing w:before="60" w:after="60"/>
              <w:jc w:val="center"/>
              <w:rPr>
                <w:b/>
                <w:noProof/>
                <w:sz w:val="20"/>
                <w:szCs w:val="20"/>
                <w:lang w:val="en-US" w:eastAsia="it-IT"/>
              </w:rPr>
            </w:pPr>
            <w:r w:rsidRPr="007C453D">
              <w:rPr>
                <w:noProof/>
                <w:sz w:val="20"/>
                <w:szCs w:val="20"/>
                <w:lang w:val="en-US"/>
              </w:rPr>
              <w:drawing>
                <wp:inline distT="0" distB="0" distL="0" distR="0" wp14:anchorId="617C5930" wp14:editId="7A766F7C">
                  <wp:extent cx="3146400" cy="336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6400" cy="3362400"/>
                          </a:xfrm>
                          <a:prstGeom prst="rect">
                            <a:avLst/>
                          </a:prstGeom>
                          <a:noFill/>
                          <a:ln>
                            <a:noFill/>
                          </a:ln>
                        </pic:spPr>
                      </pic:pic>
                    </a:graphicData>
                  </a:graphic>
                </wp:inline>
              </w:drawing>
            </w:r>
          </w:p>
        </w:tc>
      </w:tr>
      <w:tr w:rsidR="00C941F7" w:rsidRPr="001A2F73" w:rsidTr="00D10CED">
        <w:tc>
          <w:tcPr>
            <w:tcW w:w="1526"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Hypodensities</w:t>
            </w:r>
          </w:p>
        </w:tc>
        <w:tc>
          <w:tcPr>
            <w:tcW w:w="1134"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Black Hole Sign</w:t>
            </w:r>
          </w:p>
        </w:tc>
        <w:tc>
          <w:tcPr>
            <w:tcW w:w="780"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Swirl</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1116"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Satellite</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8"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Island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0"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Fluid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Level</w:t>
            </w:r>
          </w:p>
        </w:tc>
        <w:tc>
          <w:tcPr>
            <w:tcW w:w="989"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Blend</w:t>
            </w:r>
          </w:p>
          <w:p w:rsidR="00C941F7" w:rsidRPr="00A56E9C" w:rsidRDefault="00C941F7" w:rsidP="00D10CED">
            <w:pPr>
              <w:spacing w:after="0" w:line="240" w:lineRule="auto"/>
              <w:rPr>
                <w:b/>
                <w:noProof/>
                <w:sz w:val="18"/>
                <w:szCs w:val="18"/>
                <w:u w:val="single"/>
                <w:lang w:val="en-US" w:eastAsia="it-IT"/>
              </w:rPr>
            </w:pPr>
            <w:r w:rsidRPr="00A56E9C">
              <w:rPr>
                <w:b/>
                <w:sz w:val="18"/>
                <w:szCs w:val="18"/>
              </w:rPr>
              <w:t>Sign</w:t>
            </w:r>
          </w:p>
        </w:tc>
        <w:tc>
          <w:tcPr>
            <w:tcW w:w="1370" w:type="dxa"/>
            <w:gridSpan w:val="2"/>
          </w:tcPr>
          <w:p w:rsidR="00C941F7" w:rsidRPr="00A56E9C" w:rsidRDefault="00C941F7" w:rsidP="00D10CED">
            <w:pPr>
              <w:spacing w:after="0" w:line="240" w:lineRule="auto"/>
              <w:rPr>
                <w:b/>
                <w:noProof/>
                <w:sz w:val="18"/>
                <w:szCs w:val="18"/>
                <w:u w:val="single"/>
                <w:lang w:val="en-US" w:eastAsia="it-IT"/>
              </w:rPr>
            </w:pPr>
            <w:r w:rsidRPr="00A56E9C">
              <w:rPr>
                <w:b/>
                <w:sz w:val="18"/>
                <w:szCs w:val="18"/>
              </w:rPr>
              <w:t>Irregular Shape</w:t>
            </w:r>
          </w:p>
        </w:tc>
        <w:tc>
          <w:tcPr>
            <w:tcW w:w="1501"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rPr>
              <w:t>Heterogeneous Density</w:t>
            </w:r>
          </w:p>
        </w:tc>
      </w:tr>
      <w:tr w:rsidR="00C941F7" w:rsidTr="00D10CED">
        <w:tc>
          <w:tcPr>
            <w:tcW w:w="1526" w:type="dxa"/>
          </w:tcPr>
          <w:p w:rsidR="00C941F7" w:rsidRPr="008A1BD9" w:rsidRDefault="00C941F7" w:rsidP="00D10CED">
            <w:pPr>
              <w:spacing w:after="40" w:line="240" w:lineRule="auto"/>
              <w:rPr>
                <w:sz w:val="18"/>
                <w:szCs w:val="18"/>
              </w:rPr>
            </w:pPr>
            <w:r w:rsidRPr="008A1BD9">
              <w:rPr>
                <w:b/>
                <w:sz w:val="18"/>
                <w:szCs w:val="18"/>
                <w:u w:val="single"/>
              </w:rPr>
              <w:t>P</w:t>
            </w:r>
            <w:r w:rsidRPr="008A1BD9">
              <w:rPr>
                <w:sz w:val="18"/>
                <w:szCs w:val="18"/>
              </w:rPr>
              <w:t xml:space="preserve"> A1</w:t>
            </w:r>
          </w:p>
        </w:tc>
        <w:tc>
          <w:tcPr>
            <w:tcW w:w="1134" w:type="dxa"/>
          </w:tcPr>
          <w:p w:rsidR="00C941F7" w:rsidRPr="008A1BD9" w:rsidRDefault="00C941F7" w:rsidP="00D10CED">
            <w:pPr>
              <w:spacing w:after="40" w:line="240" w:lineRule="auto"/>
              <w:rPr>
                <w:sz w:val="18"/>
                <w:szCs w:val="18"/>
              </w:rPr>
            </w:pPr>
            <w:r w:rsidRPr="008A1BD9">
              <w:rPr>
                <w:b/>
                <w:sz w:val="18"/>
                <w:szCs w:val="18"/>
                <w:u w:val="single"/>
              </w:rPr>
              <w:t>N</w:t>
            </w:r>
          </w:p>
        </w:tc>
        <w:tc>
          <w:tcPr>
            <w:tcW w:w="780" w:type="dxa"/>
            <w:gridSpan w:val="2"/>
          </w:tcPr>
          <w:p w:rsidR="00C941F7" w:rsidRPr="008A1BD9" w:rsidRDefault="00C941F7" w:rsidP="00D10CED">
            <w:pPr>
              <w:spacing w:after="40" w:line="240" w:lineRule="auto"/>
              <w:rPr>
                <w:sz w:val="18"/>
                <w:szCs w:val="18"/>
              </w:rPr>
            </w:pPr>
            <w:r w:rsidRPr="008A1BD9">
              <w:rPr>
                <w:b/>
                <w:sz w:val="18"/>
                <w:szCs w:val="18"/>
                <w:u w:val="single"/>
              </w:rPr>
              <w:t>P</w:t>
            </w:r>
            <w:r w:rsidRPr="008A1BD9">
              <w:rPr>
                <w:sz w:val="18"/>
                <w:szCs w:val="18"/>
              </w:rPr>
              <w:t xml:space="preserve"> A1</w:t>
            </w:r>
          </w:p>
        </w:tc>
        <w:tc>
          <w:tcPr>
            <w:tcW w:w="1116" w:type="dxa"/>
            <w:gridSpan w:val="2"/>
          </w:tcPr>
          <w:p w:rsidR="00C941F7" w:rsidRPr="008A1BD9" w:rsidRDefault="00C941F7" w:rsidP="00D10CED">
            <w:pPr>
              <w:spacing w:after="40" w:line="240" w:lineRule="auto"/>
              <w:rPr>
                <w:sz w:val="18"/>
                <w:szCs w:val="18"/>
              </w:rPr>
            </w:pPr>
            <w:r w:rsidRPr="008A1BD9">
              <w:rPr>
                <w:b/>
                <w:sz w:val="18"/>
                <w:szCs w:val="18"/>
                <w:u w:val="single"/>
              </w:rPr>
              <w:t>N</w:t>
            </w:r>
          </w:p>
        </w:tc>
        <w:tc>
          <w:tcPr>
            <w:tcW w:w="858" w:type="dxa"/>
            <w:gridSpan w:val="2"/>
          </w:tcPr>
          <w:p w:rsidR="00C941F7" w:rsidRPr="008A1BD9" w:rsidRDefault="00C941F7" w:rsidP="00D10CED">
            <w:pPr>
              <w:spacing w:after="40" w:line="240" w:lineRule="auto"/>
              <w:rPr>
                <w:sz w:val="18"/>
                <w:szCs w:val="18"/>
              </w:rPr>
            </w:pPr>
            <w:r w:rsidRPr="008A1BD9">
              <w:rPr>
                <w:b/>
                <w:sz w:val="18"/>
                <w:szCs w:val="18"/>
                <w:u w:val="single"/>
              </w:rPr>
              <w:t>N</w:t>
            </w:r>
          </w:p>
        </w:tc>
        <w:tc>
          <w:tcPr>
            <w:tcW w:w="850" w:type="dxa"/>
            <w:gridSpan w:val="2"/>
          </w:tcPr>
          <w:p w:rsidR="00C941F7" w:rsidRPr="008A1BD9" w:rsidRDefault="00C941F7" w:rsidP="00D10CED">
            <w:pPr>
              <w:spacing w:after="40" w:line="240" w:lineRule="auto"/>
              <w:rPr>
                <w:sz w:val="18"/>
                <w:szCs w:val="18"/>
              </w:rPr>
            </w:pPr>
            <w:r w:rsidRPr="008A1BD9">
              <w:rPr>
                <w:b/>
                <w:sz w:val="18"/>
                <w:szCs w:val="18"/>
                <w:u w:val="single"/>
              </w:rPr>
              <w:t>N</w:t>
            </w:r>
          </w:p>
        </w:tc>
        <w:tc>
          <w:tcPr>
            <w:tcW w:w="989" w:type="dxa"/>
            <w:gridSpan w:val="2"/>
          </w:tcPr>
          <w:p w:rsidR="00C941F7" w:rsidRPr="008A1BD9" w:rsidRDefault="00C941F7" w:rsidP="00D10CED">
            <w:pPr>
              <w:spacing w:after="40" w:line="240" w:lineRule="auto"/>
              <w:rPr>
                <w:sz w:val="18"/>
                <w:szCs w:val="18"/>
              </w:rPr>
            </w:pPr>
            <w:r w:rsidRPr="008A1BD9">
              <w:rPr>
                <w:b/>
                <w:sz w:val="18"/>
                <w:szCs w:val="18"/>
                <w:u w:val="single"/>
              </w:rPr>
              <w:t>N</w:t>
            </w:r>
          </w:p>
        </w:tc>
        <w:tc>
          <w:tcPr>
            <w:tcW w:w="1370" w:type="dxa"/>
            <w:gridSpan w:val="2"/>
          </w:tcPr>
          <w:p w:rsidR="00C941F7" w:rsidRPr="008A1BD9" w:rsidRDefault="00C941F7" w:rsidP="00D10CED">
            <w:pPr>
              <w:spacing w:after="40" w:line="240" w:lineRule="auto"/>
              <w:rPr>
                <w:sz w:val="18"/>
                <w:szCs w:val="18"/>
              </w:rPr>
            </w:pPr>
            <w:r w:rsidRPr="008A1BD9">
              <w:rPr>
                <w:b/>
                <w:sz w:val="18"/>
                <w:szCs w:val="18"/>
                <w:u w:val="single"/>
              </w:rPr>
              <w:t>I</w:t>
            </w:r>
          </w:p>
        </w:tc>
        <w:tc>
          <w:tcPr>
            <w:tcW w:w="1501" w:type="dxa"/>
          </w:tcPr>
          <w:p w:rsidR="00C941F7" w:rsidRPr="008A1BD9" w:rsidRDefault="00C941F7" w:rsidP="00D10CED">
            <w:pPr>
              <w:spacing w:after="40" w:line="240" w:lineRule="auto"/>
              <w:rPr>
                <w:b/>
                <w:sz w:val="18"/>
                <w:szCs w:val="18"/>
                <w:u w:val="single"/>
              </w:rPr>
            </w:pPr>
            <w:r w:rsidRPr="008A1BD9">
              <w:rPr>
                <w:b/>
                <w:sz w:val="18"/>
                <w:szCs w:val="18"/>
                <w:u w:val="single"/>
              </w:rPr>
              <w:t>I</w:t>
            </w:r>
          </w:p>
        </w:tc>
      </w:tr>
      <w:tr w:rsidR="00C941F7" w:rsidTr="00D10CED">
        <w:tc>
          <w:tcPr>
            <w:tcW w:w="10124" w:type="dxa"/>
            <w:gridSpan w:val="15"/>
            <w:shd w:val="pct15" w:color="auto" w:fill="auto"/>
            <w:vAlign w:val="center"/>
          </w:tcPr>
          <w:p w:rsidR="00C941F7" w:rsidRPr="001A2F73" w:rsidRDefault="00C941F7" w:rsidP="00D10CED">
            <w:pPr>
              <w:spacing w:after="0"/>
              <w:rPr>
                <w:b/>
                <w:noProof/>
                <w:sz w:val="20"/>
                <w:szCs w:val="20"/>
                <w:lang w:val="en-US" w:eastAsia="it-IT"/>
              </w:rPr>
            </w:pPr>
            <w:r>
              <w:rPr>
                <w:b/>
                <w:noProof/>
                <w:sz w:val="20"/>
                <w:szCs w:val="20"/>
                <w:lang w:val="en-US" w:eastAsia="it-IT"/>
              </w:rPr>
              <w:t>TRAINING CASE 15</w:t>
            </w:r>
          </w:p>
        </w:tc>
      </w:tr>
      <w:tr w:rsidR="00C941F7" w:rsidTr="00D10CED">
        <w:tc>
          <w:tcPr>
            <w:tcW w:w="10124" w:type="dxa"/>
            <w:gridSpan w:val="15"/>
          </w:tcPr>
          <w:p w:rsidR="00C941F7" w:rsidRDefault="00C941F7" w:rsidP="00D10CED">
            <w:pPr>
              <w:spacing w:before="60" w:after="60"/>
              <w:jc w:val="center"/>
              <w:rPr>
                <w:b/>
                <w:noProof/>
                <w:sz w:val="20"/>
                <w:szCs w:val="20"/>
                <w:u w:val="single"/>
                <w:lang w:val="en-US" w:eastAsia="it-IT"/>
              </w:rPr>
            </w:pPr>
            <w:r w:rsidRPr="007C453D">
              <w:rPr>
                <w:noProof/>
                <w:sz w:val="20"/>
                <w:szCs w:val="20"/>
                <w:lang w:val="en-US"/>
              </w:rPr>
              <w:drawing>
                <wp:inline distT="0" distB="0" distL="0" distR="0" wp14:anchorId="2C9FDB37" wp14:editId="0BA98781">
                  <wp:extent cx="2934000" cy="3250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4000" cy="3250800"/>
                          </a:xfrm>
                          <a:prstGeom prst="rect">
                            <a:avLst/>
                          </a:prstGeom>
                          <a:noFill/>
                          <a:ln>
                            <a:noFill/>
                          </a:ln>
                        </pic:spPr>
                      </pic:pic>
                    </a:graphicData>
                  </a:graphic>
                </wp:inline>
              </w:drawing>
            </w:r>
          </w:p>
        </w:tc>
      </w:tr>
      <w:tr w:rsidR="00C941F7" w:rsidTr="00D10CED">
        <w:tc>
          <w:tcPr>
            <w:tcW w:w="1526"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Hypodensities</w:t>
            </w:r>
          </w:p>
        </w:tc>
        <w:tc>
          <w:tcPr>
            <w:tcW w:w="1134"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Black Hole Sign</w:t>
            </w:r>
          </w:p>
        </w:tc>
        <w:tc>
          <w:tcPr>
            <w:tcW w:w="780"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Swirl</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1116"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Satellite</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8"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Island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0"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Fluid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Level</w:t>
            </w:r>
          </w:p>
        </w:tc>
        <w:tc>
          <w:tcPr>
            <w:tcW w:w="989"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Blend</w:t>
            </w:r>
          </w:p>
          <w:p w:rsidR="00C941F7" w:rsidRPr="00A56E9C" w:rsidRDefault="00C941F7" w:rsidP="00D10CED">
            <w:pPr>
              <w:spacing w:after="0" w:line="240" w:lineRule="auto"/>
              <w:rPr>
                <w:b/>
                <w:noProof/>
                <w:sz w:val="18"/>
                <w:szCs w:val="18"/>
                <w:u w:val="single"/>
                <w:lang w:val="en-US" w:eastAsia="it-IT"/>
              </w:rPr>
            </w:pPr>
            <w:r w:rsidRPr="00A56E9C">
              <w:rPr>
                <w:b/>
                <w:sz w:val="18"/>
                <w:szCs w:val="18"/>
              </w:rPr>
              <w:t>Sign</w:t>
            </w:r>
          </w:p>
        </w:tc>
        <w:tc>
          <w:tcPr>
            <w:tcW w:w="1370" w:type="dxa"/>
            <w:gridSpan w:val="2"/>
          </w:tcPr>
          <w:p w:rsidR="00C941F7" w:rsidRPr="00A56E9C" w:rsidRDefault="00C941F7" w:rsidP="00D10CED">
            <w:pPr>
              <w:spacing w:after="0" w:line="240" w:lineRule="auto"/>
              <w:rPr>
                <w:b/>
                <w:noProof/>
                <w:sz w:val="18"/>
                <w:szCs w:val="18"/>
                <w:u w:val="single"/>
                <w:lang w:val="en-US" w:eastAsia="it-IT"/>
              </w:rPr>
            </w:pPr>
            <w:r w:rsidRPr="00A56E9C">
              <w:rPr>
                <w:b/>
                <w:sz w:val="18"/>
                <w:szCs w:val="18"/>
              </w:rPr>
              <w:t>Irregular Shape</w:t>
            </w:r>
          </w:p>
        </w:tc>
        <w:tc>
          <w:tcPr>
            <w:tcW w:w="1501"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rPr>
              <w:t>Heterogeneous Density</w:t>
            </w:r>
          </w:p>
        </w:tc>
      </w:tr>
      <w:tr w:rsidR="00C941F7" w:rsidTr="00D10CED">
        <w:tc>
          <w:tcPr>
            <w:tcW w:w="1526" w:type="dxa"/>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N</w:t>
            </w:r>
          </w:p>
        </w:tc>
        <w:tc>
          <w:tcPr>
            <w:tcW w:w="1134" w:type="dxa"/>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N</w:t>
            </w:r>
          </w:p>
        </w:tc>
        <w:tc>
          <w:tcPr>
            <w:tcW w:w="780" w:type="dxa"/>
            <w:gridSpan w:val="2"/>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N</w:t>
            </w:r>
          </w:p>
        </w:tc>
        <w:tc>
          <w:tcPr>
            <w:tcW w:w="1116" w:type="dxa"/>
            <w:gridSpan w:val="2"/>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N</w:t>
            </w:r>
          </w:p>
        </w:tc>
        <w:tc>
          <w:tcPr>
            <w:tcW w:w="858" w:type="dxa"/>
            <w:gridSpan w:val="2"/>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N</w:t>
            </w:r>
          </w:p>
        </w:tc>
        <w:tc>
          <w:tcPr>
            <w:tcW w:w="850" w:type="dxa"/>
            <w:gridSpan w:val="2"/>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N</w:t>
            </w:r>
          </w:p>
        </w:tc>
        <w:tc>
          <w:tcPr>
            <w:tcW w:w="989" w:type="dxa"/>
            <w:gridSpan w:val="2"/>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N</w:t>
            </w:r>
          </w:p>
        </w:tc>
        <w:tc>
          <w:tcPr>
            <w:tcW w:w="1370" w:type="dxa"/>
            <w:gridSpan w:val="2"/>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I</w:t>
            </w:r>
          </w:p>
        </w:tc>
        <w:tc>
          <w:tcPr>
            <w:tcW w:w="1501" w:type="dxa"/>
            <w:tcBorders>
              <w:bottom w:val="single" w:sz="12" w:space="0" w:color="auto"/>
            </w:tcBorders>
          </w:tcPr>
          <w:p w:rsidR="00C941F7" w:rsidRPr="008A1BD9" w:rsidRDefault="00C941F7" w:rsidP="00D10CED">
            <w:pPr>
              <w:spacing w:after="40" w:line="240" w:lineRule="auto"/>
              <w:rPr>
                <w:b/>
                <w:sz w:val="18"/>
                <w:szCs w:val="18"/>
                <w:u w:val="single"/>
              </w:rPr>
            </w:pPr>
            <w:r w:rsidRPr="008A1BD9">
              <w:rPr>
                <w:b/>
                <w:sz w:val="18"/>
                <w:szCs w:val="18"/>
                <w:u w:val="single"/>
              </w:rPr>
              <w:t>I</w:t>
            </w:r>
          </w:p>
        </w:tc>
      </w:tr>
      <w:tr w:rsidR="00C941F7" w:rsidTr="00D10CED">
        <w:trPr>
          <w:trHeight w:val="64"/>
        </w:trPr>
        <w:tc>
          <w:tcPr>
            <w:tcW w:w="10124" w:type="dxa"/>
            <w:gridSpan w:val="15"/>
            <w:tcBorders>
              <w:top w:val="single" w:sz="12" w:space="0" w:color="auto"/>
              <w:bottom w:val="single" w:sz="6" w:space="0" w:color="auto"/>
            </w:tcBorders>
            <w:shd w:val="pct15" w:color="auto" w:fill="auto"/>
          </w:tcPr>
          <w:p w:rsidR="00C941F7" w:rsidRDefault="00C941F7" w:rsidP="00D10CED">
            <w:pPr>
              <w:spacing w:after="0"/>
              <w:rPr>
                <w:b/>
                <w:noProof/>
                <w:sz w:val="20"/>
                <w:szCs w:val="20"/>
                <w:u w:val="single"/>
                <w:lang w:val="en-US" w:eastAsia="it-IT"/>
              </w:rPr>
            </w:pPr>
            <w:r>
              <w:rPr>
                <w:b/>
                <w:noProof/>
                <w:sz w:val="20"/>
                <w:szCs w:val="20"/>
                <w:lang w:val="en-US" w:eastAsia="it-IT"/>
              </w:rPr>
              <w:lastRenderedPageBreak/>
              <w:t>TRAINING CASE 16</w:t>
            </w:r>
          </w:p>
        </w:tc>
      </w:tr>
      <w:tr w:rsidR="00C941F7" w:rsidTr="00D10CED">
        <w:tc>
          <w:tcPr>
            <w:tcW w:w="10124" w:type="dxa"/>
            <w:gridSpan w:val="15"/>
            <w:tcBorders>
              <w:top w:val="single" w:sz="6" w:space="0" w:color="auto"/>
            </w:tcBorders>
          </w:tcPr>
          <w:p w:rsidR="00C941F7" w:rsidRDefault="00C941F7" w:rsidP="00D10CED">
            <w:pPr>
              <w:spacing w:before="60" w:after="60"/>
              <w:jc w:val="center"/>
              <w:rPr>
                <w:b/>
                <w:noProof/>
                <w:sz w:val="20"/>
                <w:szCs w:val="20"/>
                <w:lang w:val="en-US" w:eastAsia="it-IT"/>
              </w:rPr>
            </w:pPr>
            <w:r>
              <w:rPr>
                <w:noProof/>
                <w:sz w:val="20"/>
                <w:szCs w:val="20"/>
                <w:lang w:val="en-US"/>
              </w:rPr>
              <w:drawing>
                <wp:inline distT="0" distB="0" distL="0" distR="0" wp14:anchorId="01C00E06" wp14:editId="3FE6AB76">
                  <wp:extent cx="5184000" cy="2872800"/>
                  <wp:effectExtent l="0" t="0" r="0" b="0"/>
                  <wp:docPr id="2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184000" cy="2872800"/>
                          </a:xfrm>
                          <a:prstGeom prst="rect">
                            <a:avLst/>
                          </a:prstGeom>
                          <a:noFill/>
                          <a:ln w="9525">
                            <a:noFill/>
                            <a:miter lim="800000"/>
                            <a:headEnd/>
                            <a:tailEnd/>
                          </a:ln>
                        </pic:spPr>
                      </pic:pic>
                    </a:graphicData>
                  </a:graphic>
                </wp:inline>
              </w:drawing>
            </w:r>
          </w:p>
        </w:tc>
      </w:tr>
      <w:tr w:rsidR="00C941F7" w:rsidRPr="001A2F73" w:rsidTr="00D10CED">
        <w:tc>
          <w:tcPr>
            <w:tcW w:w="1526"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Hypodensities</w:t>
            </w:r>
          </w:p>
        </w:tc>
        <w:tc>
          <w:tcPr>
            <w:tcW w:w="1417" w:type="dxa"/>
            <w:gridSpan w:val="2"/>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Black Hole Sign</w:t>
            </w:r>
          </w:p>
        </w:tc>
        <w:tc>
          <w:tcPr>
            <w:tcW w:w="851"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Swirl</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992"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Satellite</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992"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Island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993"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Fluid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Level</w:t>
            </w:r>
          </w:p>
        </w:tc>
        <w:tc>
          <w:tcPr>
            <w:tcW w:w="850"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Blend</w:t>
            </w:r>
          </w:p>
          <w:p w:rsidR="00C941F7" w:rsidRPr="00A56E9C" w:rsidRDefault="00C941F7" w:rsidP="00D10CED">
            <w:pPr>
              <w:spacing w:after="0" w:line="240" w:lineRule="auto"/>
              <w:rPr>
                <w:b/>
                <w:noProof/>
                <w:sz w:val="18"/>
                <w:szCs w:val="18"/>
                <w:u w:val="single"/>
                <w:lang w:val="en-US" w:eastAsia="it-IT"/>
              </w:rPr>
            </w:pPr>
            <w:r w:rsidRPr="00A56E9C">
              <w:rPr>
                <w:b/>
                <w:sz w:val="18"/>
                <w:szCs w:val="18"/>
              </w:rPr>
              <w:t>Sign</w:t>
            </w:r>
          </w:p>
        </w:tc>
        <w:tc>
          <w:tcPr>
            <w:tcW w:w="1002"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rPr>
              <w:t>Irregular Shape</w:t>
            </w:r>
          </w:p>
        </w:tc>
        <w:tc>
          <w:tcPr>
            <w:tcW w:w="1501"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rPr>
              <w:t>Heterogeneous Density</w:t>
            </w:r>
          </w:p>
        </w:tc>
      </w:tr>
      <w:tr w:rsidR="00C941F7" w:rsidTr="00D10CED">
        <w:tc>
          <w:tcPr>
            <w:tcW w:w="1526" w:type="dxa"/>
          </w:tcPr>
          <w:p w:rsidR="00C941F7" w:rsidRPr="00341719" w:rsidRDefault="00C941F7" w:rsidP="00D10CED">
            <w:pPr>
              <w:spacing w:after="0" w:line="240" w:lineRule="auto"/>
              <w:rPr>
                <w:sz w:val="18"/>
                <w:szCs w:val="18"/>
                <w:lang w:val="en-US"/>
              </w:rPr>
            </w:pPr>
            <w:r w:rsidRPr="00341719">
              <w:rPr>
                <w:b/>
                <w:sz w:val="18"/>
                <w:szCs w:val="18"/>
                <w:u w:val="single"/>
                <w:lang w:val="en-US"/>
              </w:rPr>
              <w:t>N</w:t>
            </w:r>
            <w:r w:rsidRPr="00341719">
              <w:rPr>
                <w:sz w:val="18"/>
                <w:szCs w:val="18"/>
                <w:lang w:val="en-US"/>
              </w:rPr>
              <w:t xml:space="preserve"> </w:t>
            </w:r>
            <w:r w:rsidRPr="008A1BD9">
              <w:rPr>
                <w:sz w:val="18"/>
                <w:szCs w:val="18"/>
                <w:lang w:val="en-US"/>
              </w:rPr>
              <w:t>None o</w:t>
            </w:r>
            <w:r w:rsidRPr="00341719">
              <w:rPr>
                <w:sz w:val="18"/>
                <w:szCs w:val="18"/>
                <w:lang w:val="en-US"/>
              </w:rPr>
              <w:t>f the multiple hypodensities</w:t>
            </w:r>
            <w:r w:rsidRPr="008A1BD9">
              <w:rPr>
                <w:sz w:val="18"/>
                <w:szCs w:val="18"/>
                <w:lang w:val="en-US"/>
              </w:rPr>
              <w:t xml:space="preserve"> is clearly encapsulated in the hemorrhage</w:t>
            </w:r>
          </w:p>
        </w:tc>
        <w:tc>
          <w:tcPr>
            <w:tcW w:w="1417" w:type="dxa"/>
            <w:gridSpan w:val="2"/>
          </w:tcPr>
          <w:p w:rsidR="00C941F7" w:rsidRPr="00341719" w:rsidRDefault="00C941F7" w:rsidP="00D10CED">
            <w:pPr>
              <w:spacing w:after="0" w:line="240" w:lineRule="auto"/>
              <w:rPr>
                <w:b/>
                <w:sz w:val="18"/>
                <w:szCs w:val="18"/>
                <w:lang w:val="en-US"/>
              </w:rPr>
            </w:pPr>
            <w:r w:rsidRPr="00341719">
              <w:rPr>
                <w:b/>
                <w:sz w:val="18"/>
                <w:szCs w:val="18"/>
                <w:u w:val="single"/>
                <w:lang w:val="en-US"/>
              </w:rPr>
              <w:t>N</w:t>
            </w:r>
            <w:r w:rsidRPr="00341719">
              <w:rPr>
                <w:sz w:val="18"/>
                <w:szCs w:val="18"/>
                <w:lang w:val="en-US"/>
              </w:rPr>
              <w:t xml:space="preserve"> </w:t>
            </w:r>
            <w:r w:rsidRPr="008A1BD9">
              <w:rPr>
                <w:sz w:val="18"/>
                <w:szCs w:val="18"/>
                <w:lang w:val="en-US"/>
              </w:rPr>
              <w:t>None o</w:t>
            </w:r>
            <w:r w:rsidRPr="00341719">
              <w:rPr>
                <w:sz w:val="18"/>
                <w:szCs w:val="18"/>
                <w:lang w:val="en-US"/>
              </w:rPr>
              <w:t>f the multiple hypodensities</w:t>
            </w:r>
            <w:r w:rsidRPr="008A1BD9">
              <w:rPr>
                <w:sz w:val="18"/>
                <w:szCs w:val="18"/>
                <w:lang w:val="en-US"/>
              </w:rPr>
              <w:t xml:space="preserve"> is clearly encapsulated in the hemorrhage</w:t>
            </w:r>
          </w:p>
        </w:tc>
        <w:tc>
          <w:tcPr>
            <w:tcW w:w="851" w:type="dxa"/>
            <w:gridSpan w:val="2"/>
          </w:tcPr>
          <w:p w:rsidR="00C941F7" w:rsidRPr="008A1BD9" w:rsidRDefault="00C941F7" w:rsidP="00D10CED">
            <w:pPr>
              <w:spacing w:after="0" w:line="240" w:lineRule="auto"/>
              <w:rPr>
                <w:sz w:val="18"/>
                <w:szCs w:val="18"/>
              </w:rPr>
            </w:pPr>
            <w:r w:rsidRPr="008A1BD9">
              <w:rPr>
                <w:b/>
                <w:sz w:val="18"/>
                <w:szCs w:val="18"/>
                <w:u w:val="single"/>
              </w:rPr>
              <w:t>P</w:t>
            </w:r>
            <w:r w:rsidRPr="008A1BD9">
              <w:rPr>
                <w:sz w:val="18"/>
                <w:szCs w:val="18"/>
              </w:rPr>
              <w:t xml:space="preserve"> </w:t>
            </w:r>
            <w:r w:rsidRPr="008A1BD9">
              <w:rPr>
                <w:sz w:val="18"/>
                <w:szCs w:val="18"/>
                <w:lang w:val="en-US"/>
              </w:rPr>
              <w:t>A3</w:t>
            </w:r>
            <w:r>
              <w:rPr>
                <w:sz w:val="18"/>
                <w:szCs w:val="18"/>
              </w:rPr>
              <w:t>–</w:t>
            </w:r>
            <w:r w:rsidRPr="008A1BD9">
              <w:rPr>
                <w:sz w:val="18"/>
                <w:szCs w:val="18"/>
                <w:lang w:val="en-US"/>
              </w:rPr>
              <w:t>B2</w:t>
            </w:r>
          </w:p>
        </w:tc>
        <w:tc>
          <w:tcPr>
            <w:tcW w:w="992" w:type="dxa"/>
            <w:gridSpan w:val="2"/>
          </w:tcPr>
          <w:p w:rsidR="00C941F7" w:rsidRPr="008A1BD9" w:rsidRDefault="00C941F7" w:rsidP="00D10CED">
            <w:pPr>
              <w:spacing w:after="0" w:line="240" w:lineRule="auto"/>
              <w:rPr>
                <w:sz w:val="18"/>
                <w:szCs w:val="18"/>
                <w:lang w:val="en-US"/>
              </w:rPr>
            </w:pPr>
            <w:r w:rsidRPr="008A1BD9">
              <w:rPr>
                <w:b/>
                <w:sz w:val="18"/>
                <w:szCs w:val="18"/>
                <w:u w:val="single"/>
              </w:rPr>
              <w:t>P</w:t>
            </w:r>
            <w:r w:rsidRPr="008A1BD9">
              <w:rPr>
                <w:sz w:val="18"/>
                <w:szCs w:val="18"/>
              </w:rPr>
              <w:t xml:space="preserve"> </w:t>
            </w:r>
            <w:r>
              <w:rPr>
                <w:sz w:val="18"/>
                <w:szCs w:val="18"/>
              </w:rPr>
              <w:t>A1-A2–</w:t>
            </w:r>
            <w:r w:rsidRPr="008A1BD9">
              <w:rPr>
                <w:sz w:val="18"/>
                <w:szCs w:val="18"/>
              </w:rPr>
              <w:t>B1</w:t>
            </w:r>
          </w:p>
        </w:tc>
        <w:tc>
          <w:tcPr>
            <w:tcW w:w="992" w:type="dxa"/>
            <w:gridSpan w:val="2"/>
          </w:tcPr>
          <w:p w:rsidR="00C941F7" w:rsidRPr="008A1BD9" w:rsidRDefault="00C941F7" w:rsidP="00D10CED">
            <w:pPr>
              <w:spacing w:after="0" w:line="240" w:lineRule="auto"/>
              <w:rPr>
                <w:b/>
                <w:sz w:val="18"/>
                <w:szCs w:val="18"/>
              </w:rPr>
            </w:pPr>
            <w:r w:rsidRPr="008A1BD9">
              <w:rPr>
                <w:b/>
                <w:sz w:val="18"/>
                <w:szCs w:val="18"/>
                <w:u w:val="single"/>
              </w:rPr>
              <w:t>P</w:t>
            </w:r>
            <w:r w:rsidRPr="008A1BD9">
              <w:rPr>
                <w:sz w:val="18"/>
                <w:szCs w:val="18"/>
              </w:rPr>
              <w:t xml:space="preserve"> </w:t>
            </w:r>
            <w:r>
              <w:rPr>
                <w:sz w:val="18"/>
                <w:szCs w:val="18"/>
              </w:rPr>
              <w:t>A1–</w:t>
            </w:r>
            <w:r w:rsidRPr="008A1BD9">
              <w:rPr>
                <w:sz w:val="18"/>
                <w:szCs w:val="18"/>
              </w:rPr>
              <w:t>A2-</w:t>
            </w:r>
            <w:r>
              <w:rPr>
                <w:sz w:val="18"/>
                <w:szCs w:val="18"/>
              </w:rPr>
              <w:t>A4–</w:t>
            </w:r>
            <w:r w:rsidRPr="008A1BD9">
              <w:rPr>
                <w:sz w:val="18"/>
                <w:szCs w:val="18"/>
              </w:rPr>
              <w:t>B1</w:t>
            </w:r>
            <w:r>
              <w:rPr>
                <w:sz w:val="18"/>
                <w:szCs w:val="18"/>
              </w:rPr>
              <w:t>–B3–B4</w:t>
            </w:r>
            <w:r w:rsidRPr="008A1BD9">
              <w:rPr>
                <w:sz w:val="18"/>
                <w:szCs w:val="18"/>
              </w:rPr>
              <w:t>–B5</w:t>
            </w:r>
          </w:p>
        </w:tc>
        <w:tc>
          <w:tcPr>
            <w:tcW w:w="993" w:type="dxa"/>
            <w:gridSpan w:val="2"/>
          </w:tcPr>
          <w:p w:rsidR="00C941F7" w:rsidRPr="008A1BD9" w:rsidRDefault="00C941F7" w:rsidP="00D10CED">
            <w:pPr>
              <w:spacing w:after="0" w:line="240" w:lineRule="auto"/>
              <w:rPr>
                <w:sz w:val="18"/>
                <w:szCs w:val="18"/>
              </w:rPr>
            </w:pPr>
            <w:r w:rsidRPr="008A1BD9">
              <w:rPr>
                <w:b/>
                <w:sz w:val="18"/>
                <w:szCs w:val="18"/>
                <w:u w:val="single"/>
              </w:rPr>
              <w:t>N</w:t>
            </w:r>
          </w:p>
        </w:tc>
        <w:tc>
          <w:tcPr>
            <w:tcW w:w="850" w:type="dxa"/>
            <w:gridSpan w:val="2"/>
          </w:tcPr>
          <w:p w:rsidR="00C941F7" w:rsidRPr="008A1BD9" w:rsidRDefault="00C941F7" w:rsidP="00D10CED">
            <w:pPr>
              <w:spacing w:after="0" w:line="240" w:lineRule="auto"/>
              <w:rPr>
                <w:sz w:val="18"/>
                <w:szCs w:val="18"/>
              </w:rPr>
            </w:pPr>
            <w:r w:rsidRPr="008A1BD9">
              <w:rPr>
                <w:b/>
                <w:sz w:val="18"/>
                <w:szCs w:val="18"/>
                <w:u w:val="single"/>
              </w:rPr>
              <w:t>N</w:t>
            </w:r>
          </w:p>
        </w:tc>
        <w:tc>
          <w:tcPr>
            <w:tcW w:w="1002" w:type="dxa"/>
          </w:tcPr>
          <w:p w:rsidR="00C941F7" w:rsidRPr="008A1BD9" w:rsidRDefault="00C941F7" w:rsidP="00D10CED">
            <w:pPr>
              <w:spacing w:after="0" w:line="240" w:lineRule="auto"/>
              <w:rPr>
                <w:b/>
                <w:sz w:val="18"/>
                <w:szCs w:val="18"/>
                <w:u w:val="single"/>
              </w:rPr>
            </w:pPr>
            <w:r w:rsidRPr="008A1BD9">
              <w:rPr>
                <w:b/>
                <w:sz w:val="18"/>
                <w:szCs w:val="18"/>
                <w:u w:val="single"/>
              </w:rPr>
              <w:t>V</w:t>
            </w:r>
          </w:p>
        </w:tc>
        <w:tc>
          <w:tcPr>
            <w:tcW w:w="1501" w:type="dxa"/>
          </w:tcPr>
          <w:p w:rsidR="00C941F7" w:rsidRPr="008A1BD9" w:rsidRDefault="00C941F7" w:rsidP="00D10CED">
            <w:pPr>
              <w:spacing w:after="0" w:line="240" w:lineRule="auto"/>
              <w:rPr>
                <w:b/>
                <w:sz w:val="18"/>
                <w:szCs w:val="18"/>
                <w:u w:val="single"/>
              </w:rPr>
            </w:pPr>
            <w:r w:rsidRPr="008A1BD9">
              <w:rPr>
                <w:b/>
                <w:sz w:val="18"/>
                <w:szCs w:val="18"/>
                <w:u w:val="single"/>
              </w:rPr>
              <w:t>I</w:t>
            </w:r>
          </w:p>
        </w:tc>
      </w:tr>
    </w:tbl>
    <w:p w:rsidR="00C941F7" w:rsidRDefault="00C941F7" w:rsidP="00C941F7">
      <w:pPr>
        <w:rPr>
          <w:sz w:val="20"/>
          <w:szCs w:val="20"/>
        </w:rPr>
      </w:pPr>
      <w:r w:rsidRPr="001A2F73">
        <w:rPr>
          <w:sz w:val="20"/>
          <w:szCs w:val="20"/>
        </w:rPr>
        <w:tab/>
      </w:r>
      <w:r w:rsidRPr="001A2F73">
        <w:rPr>
          <w:sz w:val="20"/>
          <w:szCs w:val="20"/>
        </w:rPr>
        <w:tab/>
      </w:r>
    </w:p>
    <w:tbl>
      <w:tblPr>
        <w:tblStyle w:val="TableGrid"/>
        <w:tblW w:w="101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26"/>
        <w:gridCol w:w="1134"/>
        <w:gridCol w:w="780"/>
        <w:gridCol w:w="1116"/>
        <w:gridCol w:w="858"/>
        <w:gridCol w:w="850"/>
        <w:gridCol w:w="989"/>
        <w:gridCol w:w="1370"/>
        <w:gridCol w:w="1501"/>
      </w:tblGrid>
      <w:tr w:rsidR="00C941F7" w:rsidTr="00D10CED">
        <w:tc>
          <w:tcPr>
            <w:tcW w:w="10124" w:type="dxa"/>
            <w:gridSpan w:val="9"/>
            <w:shd w:val="pct15" w:color="auto" w:fill="auto"/>
            <w:vAlign w:val="center"/>
          </w:tcPr>
          <w:p w:rsidR="00C941F7" w:rsidRPr="001A2F73" w:rsidRDefault="00C941F7" w:rsidP="00D10CED">
            <w:pPr>
              <w:spacing w:after="0"/>
              <w:rPr>
                <w:b/>
                <w:noProof/>
                <w:sz w:val="20"/>
                <w:szCs w:val="20"/>
                <w:lang w:val="en-US" w:eastAsia="it-IT"/>
              </w:rPr>
            </w:pPr>
            <w:r>
              <w:rPr>
                <w:b/>
                <w:noProof/>
                <w:sz w:val="20"/>
                <w:szCs w:val="20"/>
                <w:lang w:val="en-US" w:eastAsia="it-IT"/>
              </w:rPr>
              <w:t>TRAINING CASE 17</w:t>
            </w:r>
          </w:p>
        </w:tc>
      </w:tr>
      <w:tr w:rsidR="00C941F7" w:rsidTr="00D10CED">
        <w:tc>
          <w:tcPr>
            <w:tcW w:w="10124" w:type="dxa"/>
            <w:gridSpan w:val="9"/>
          </w:tcPr>
          <w:p w:rsidR="00C941F7" w:rsidRDefault="00C941F7" w:rsidP="00D10CED">
            <w:pPr>
              <w:spacing w:before="60" w:after="60"/>
              <w:jc w:val="center"/>
              <w:rPr>
                <w:b/>
                <w:noProof/>
                <w:sz w:val="20"/>
                <w:szCs w:val="20"/>
                <w:u w:val="single"/>
                <w:lang w:val="en-US" w:eastAsia="it-IT"/>
              </w:rPr>
            </w:pPr>
            <w:r w:rsidRPr="007C453D">
              <w:rPr>
                <w:noProof/>
                <w:sz w:val="20"/>
                <w:szCs w:val="20"/>
                <w:lang w:val="en-US"/>
              </w:rPr>
              <w:drawing>
                <wp:inline distT="0" distB="0" distL="0" distR="0" wp14:anchorId="0F4C98F3" wp14:editId="08946CE9">
                  <wp:extent cx="2973600" cy="3207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3600" cy="3207600"/>
                          </a:xfrm>
                          <a:prstGeom prst="rect">
                            <a:avLst/>
                          </a:prstGeom>
                          <a:noFill/>
                          <a:ln>
                            <a:noFill/>
                          </a:ln>
                        </pic:spPr>
                      </pic:pic>
                    </a:graphicData>
                  </a:graphic>
                </wp:inline>
              </w:drawing>
            </w:r>
          </w:p>
        </w:tc>
      </w:tr>
      <w:tr w:rsidR="00C941F7" w:rsidTr="00D10CED">
        <w:tc>
          <w:tcPr>
            <w:tcW w:w="1526"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Hypodensities</w:t>
            </w:r>
          </w:p>
        </w:tc>
        <w:tc>
          <w:tcPr>
            <w:tcW w:w="1134"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Black Hole Sign</w:t>
            </w:r>
          </w:p>
        </w:tc>
        <w:tc>
          <w:tcPr>
            <w:tcW w:w="780" w:type="dxa"/>
          </w:tcPr>
          <w:p w:rsidR="00C941F7" w:rsidRPr="00A56E9C" w:rsidRDefault="00C941F7" w:rsidP="00D10CED">
            <w:pPr>
              <w:spacing w:after="0" w:line="240" w:lineRule="auto"/>
              <w:rPr>
                <w:b/>
                <w:sz w:val="18"/>
                <w:szCs w:val="18"/>
                <w:lang w:val="en-US"/>
              </w:rPr>
            </w:pPr>
            <w:r w:rsidRPr="00A56E9C">
              <w:rPr>
                <w:b/>
                <w:sz w:val="18"/>
                <w:szCs w:val="18"/>
                <w:lang w:val="en-US"/>
              </w:rPr>
              <w:t>Swirl</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1116" w:type="dxa"/>
          </w:tcPr>
          <w:p w:rsidR="00C941F7" w:rsidRPr="00A56E9C" w:rsidRDefault="00C941F7" w:rsidP="00D10CED">
            <w:pPr>
              <w:spacing w:after="0" w:line="240" w:lineRule="auto"/>
              <w:rPr>
                <w:b/>
                <w:sz w:val="18"/>
                <w:szCs w:val="18"/>
                <w:lang w:val="en-US"/>
              </w:rPr>
            </w:pPr>
            <w:r w:rsidRPr="00A56E9C">
              <w:rPr>
                <w:b/>
                <w:sz w:val="18"/>
                <w:szCs w:val="18"/>
                <w:lang w:val="en-US"/>
              </w:rPr>
              <w:t>Satellite</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8" w:type="dxa"/>
          </w:tcPr>
          <w:p w:rsidR="00C941F7" w:rsidRPr="00A56E9C" w:rsidRDefault="00C941F7" w:rsidP="00D10CED">
            <w:pPr>
              <w:spacing w:after="0" w:line="240" w:lineRule="auto"/>
              <w:rPr>
                <w:b/>
                <w:sz w:val="18"/>
                <w:szCs w:val="18"/>
                <w:lang w:val="en-US"/>
              </w:rPr>
            </w:pPr>
            <w:r w:rsidRPr="00A56E9C">
              <w:rPr>
                <w:b/>
                <w:sz w:val="18"/>
                <w:szCs w:val="18"/>
                <w:lang w:val="en-US"/>
              </w:rPr>
              <w:t>Island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0" w:type="dxa"/>
          </w:tcPr>
          <w:p w:rsidR="00C941F7" w:rsidRPr="00A56E9C" w:rsidRDefault="00C941F7" w:rsidP="00D10CED">
            <w:pPr>
              <w:spacing w:after="0" w:line="240" w:lineRule="auto"/>
              <w:rPr>
                <w:b/>
                <w:sz w:val="18"/>
                <w:szCs w:val="18"/>
                <w:lang w:val="en-US"/>
              </w:rPr>
            </w:pPr>
            <w:r w:rsidRPr="00A56E9C">
              <w:rPr>
                <w:b/>
                <w:sz w:val="18"/>
                <w:szCs w:val="18"/>
                <w:lang w:val="en-US"/>
              </w:rPr>
              <w:t>Fluid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Level</w:t>
            </w:r>
          </w:p>
        </w:tc>
        <w:tc>
          <w:tcPr>
            <w:tcW w:w="989" w:type="dxa"/>
          </w:tcPr>
          <w:p w:rsidR="00C941F7" w:rsidRPr="00A56E9C" w:rsidRDefault="00C941F7" w:rsidP="00D10CED">
            <w:pPr>
              <w:spacing w:after="0" w:line="240" w:lineRule="auto"/>
              <w:rPr>
                <w:b/>
                <w:sz w:val="18"/>
                <w:szCs w:val="18"/>
                <w:lang w:val="en-US"/>
              </w:rPr>
            </w:pPr>
            <w:r w:rsidRPr="00A56E9C">
              <w:rPr>
                <w:b/>
                <w:sz w:val="18"/>
                <w:szCs w:val="18"/>
                <w:lang w:val="en-US"/>
              </w:rPr>
              <w:t>Blend</w:t>
            </w:r>
          </w:p>
          <w:p w:rsidR="00C941F7" w:rsidRPr="00A56E9C" w:rsidRDefault="00C941F7" w:rsidP="00D10CED">
            <w:pPr>
              <w:spacing w:after="0" w:line="240" w:lineRule="auto"/>
              <w:rPr>
                <w:b/>
                <w:noProof/>
                <w:sz w:val="18"/>
                <w:szCs w:val="18"/>
                <w:u w:val="single"/>
                <w:lang w:val="en-US" w:eastAsia="it-IT"/>
              </w:rPr>
            </w:pPr>
            <w:r w:rsidRPr="00A56E9C">
              <w:rPr>
                <w:b/>
                <w:sz w:val="18"/>
                <w:szCs w:val="18"/>
              </w:rPr>
              <w:t>Sign</w:t>
            </w:r>
          </w:p>
        </w:tc>
        <w:tc>
          <w:tcPr>
            <w:tcW w:w="1370"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rPr>
              <w:t>Irregular Shape</w:t>
            </w:r>
          </w:p>
        </w:tc>
        <w:tc>
          <w:tcPr>
            <w:tcW w:w="1501"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rPr>
              <w:t>Heterogeneous Density</w:t>
            </w:r>
          </w:p>
        </w:tc>
      </w:tr>
      <w:tr w:rsidR="00C941F7" w:rsidTr="00D10CED">
        <w:tc>
          <w:tcPr>
            <w:tcW w:w="1526" w:type="dxa"/>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lastRenderedPageBreak/>
              <w:t>N</w:t>
            </w:r>
          </w:p>
        </w:tc>
        <w:tc>
          <w:tcPr>
            <w:tcW w:w="1134" w:type="dxa"/>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N</w:t>
            </w:r>
          </w:p>
        </w:tc>
        <w:tc>
          <w:tcPr>
            <w:tcW w:w="780" w:type="dxa"/>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N</w:t>
            </w:r>
          </w:p>
        </w:tc>
        <w:tc>
          <w:tcPr>
            <w:tcW w:w="1116" w:type="dxa"/>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N</w:t>
            </w:r>
          </w:p>
        </w:tc>
        <w:tc>
          <w:tcPr>
            <w:tcW w:w="858" w:type="dxa"/>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N</w:t>
            </w:r>
          </w:p>
        </w:tc>
        <w:tc>
          <w:tcPr>
            <w:tcW w:w="850" w:type="dxa"/>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N</w:t>
            </w:r>
          </w:p>
        </w:tc>
        <w:tc>
          <w:tcPr>
            <w:tcW w:w="989" w:type="dxa"/>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N</w:t>
            </w:r>
          </w:p>
        </w:tc>
        <w:tc>
          <w:tcPr>
            <w:tcW w:w="1370" w:type="dxa"/>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I</w:t>
            </w:r>
          </w:p>
        </w:tc>
        <w:tc>
          <w:tcPr>
            <w:tcW w:w="1501" w:type="dxa"/>
            <w:tcBorders>
              <w:bottom w:val="single" w:sz="12" w:space="0" w:color="auto"/>
            </w:tcBorders>
          </w:tcPr>
          <w:p w:rsidR="00C941F7" w:rsidRPr="008A1BD9" w:rsidRDefault="00C941F7" w:rsidP="00D10CED">
            <w:pPr>
              <w:spacing w:after="40" w:line="240" w:lineRule="auto"/>
              <w:rPr>
                <w:b/>
                <w:sz w:val="18"/>
                <w:szCs w:val="18"/>
                <w:u w:val="single"/>
              </w:rPr>
            </w:pPr>
            <w:r w:rsidRPr="008A1BD9">
              <w:rPr>
                <w:b/>
                <w:sz w:val="18"/>
                <w:szCs w:val="18"/>
                <w:u w:val="single"/>
              </w:rPr>
              <w:t>I</w:t>
            </w:r>
          </w:p>
        </w:tc>
      </w:tr>
      <w:tr w:rsidR="00C941F7" w:rsidTr="00D10CED">
        <w:trPr>
          <w:trHeight w:val="64"/>
        </w:trPr>
        <w:tc>
          <w:tcPr>
            <w:tcW w:w="10124" w:type="dxa"/>
            <w:gridSpan w:val="9"/>
            <w:tcBorders>
              <w:top w:val="single" w:sz="12" w:space="0" w:color="auto"/>
              <w:bottom w:val="single" w:sz="6" w:space="0" w:color="auto"/>
            </w:tcBorders>
            <w:shd w:val="pct15" w:color="auto" w:fill="auto"/>
          </w:tcPr>
          <w:p w:rsidR="00C941F7" w:rsidRDefault="00C941F7" w:rsidP="00D10CED">
            <w:pPr>
              <w:spacing w:after="0"/>
              <w:rPr>
                <w:b/>
                <w:noProof/>
                <w:sz w:val="20"/>
                <w:szCs w:val="20"/>
                <w:u w:val="single"/>
                <w:lang w:val="en-US" w:eastAsia="it-IT"/>
              </w:rPr>
            </w:pPr>
            <w:r>
              <w:rPr>
                <w:b/>
                <w:noProof/>
                <w:sz w:val="20"/>
                <w:szCs w:val="20"/>
                <w:lang w:val="en-US" w:eastAsia="it-IT"/>
              </w:rPr>
              <w:t>TRAINING CASE 18</w:t>
            </w:r>
          </w:p>
        </w:tc>
      </w:tr>
      <w:tr w:rsidR="00C941F7" w:rsidTr="00D10CED">
        <w:tc>
          <w:tcPr>
            <w:tcW w:w="10124" w:type="dxa"/>
            <w:gridSpan w:val="9"/>
            <w:tcBorders>
              <w:top w:val="single" w:sz="6" w:space="0" w:color="auto"/>
            </w:tcBorders>
          </w:tcPr>
          <w:p w:rsidR="00C941F7" w:rsidRDefault="00C941F7" w:rsidP="00D10CED">
            <w:pPr>
              <w:spacing w:before="60" w:after="60"/>
              <w:jc w:val="center"/>
              <w:rPr>
                <w:b/>
                <w:noProof/>
                <w:sz w:val="20"/>
                <w:szCs w:val="20"/>
                <w:lang w:val="en-US" w:eastAsia="it-IT"/>
              </w:rPr>
            </w:pPr>
            <w:r w:rsidRPr="007C453D">
              <w:rPr>
                <w:noProof/>
                <w:sz w:val="20"/>
                <w:szCs w:val="20"/>
                <w:lang w:val="en-US"/>
              </w:rPr>
              <w:drawing>
                <wp:inline distT="0" distB="0" distL="0" distR="0" wp14:anchorId="4122D6D3" wp14:editId="70982E9F">
                  <wp:extent cx="5886000" cy="3225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86000" cy="3225600"/>
                          </a:xfrm>
                          <a:prstGeom prst="rect">
                            <a:avLst/>
                          </a:prstGeom>
                          <a:noFill/>
                          <a:ln>
                            <a:noFill/>
                          </a:ln>
                        </pic:spPr>
                      </pic:pic>
                    </a:graphicData>
                  </a:graphic>
                </wp:inline>
              </w:drawing>
            </w:r>
          </w:p>
        </w:tc>
      </w:tr>
      <w:tr w:rsidR="00C941F7" w:rsidRPr="001A2F73" w:rsidTr="00D10CED">
        <w:tc>
          <w:tcPr>
            <w:tcW w:w="1526"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Hypodensities</w:t>
            </w:r>
          </w:p>
        </w:tc>
        <w:tc>
          <w:tcPr>
            <w:tcW w:w="1134"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Black Hole Sign</w:t>
            </w:r>
          </w:p>
        </w:tc>
        <w:tc>
          <w:tcPr>
            <w:tcW w:w="780" w:type="dxa"/>
          </w:tcPr>
          <w:p w:rsidR="00C941F7" w:rsidRPr="00A56E9C" w:rsidRDefault="00C941F7" w:rsidP="00D10CED">
            <w:pPr>
              <w:spacing w:after="0" w:line="240" w:lineRule="auto"/>
              <w:rPr>
                <w:b/>
                <w:sz w:val="18"/>
                <w:szCs w:val="18"/>
                <w:lang w:val="en-US"/>
              </w:rPr>
            </w:pPr>
            <w:r w:rsidRPr="00A56E9C">
              <w:rPr>
                <w:b/>
                <w:sz w:val="18"/>
                <w:szCs w:val="18"/>
                <w:lang w:val="en-US"/>
              </w:rPr>
              <w:t>Swirl</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1116" w:type="dxa"/>
          </w:tcPr>
          <w:p w:rsidR="00C941F7" w:rsidRPr="00A56E9C" w:rsidRDefault="00C941F7" w:rsidP="00D10CED">
            <w:pPr>
              <w:spacing w:after="0" w:line="240" w:lineRule="auto"/>
              <w:rPr>
                <w:b/>
                <w:sz w:val="18"/>
                <w:szCs w:val="18"/>
                <w:lang w:val="en-US"/>
              </w:rPr>
            </w:pPr>
            <w:r w:rsidRPr="00A56E9C">
              <w:rPr>
                <w:b/>
                <w:sz w:val="18"/>
                <w:szCs w:val="18"/>
                <w:lang w:val="en-US"/>
              </w:rPr>
              <w:t>Satellite</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8" w:type="dxa"/>
          </w:tcPr>
          <w:p w:rsidR="00C941F7" w:rsidRPr="00A56E9C" w:rsidRDefault="00C941F7" w:rsidP="00D10CED">
            <w:pPr>
              <w:spacing w:after="0" w:line="240" w:lineRule="auto"/>
              <w:rPr>
                <w:b/>
                <w:sz w:val="18"/>
                <w:szCs w:val="18"/>
                <w:lang w:val="en-US"/>
              </w:rPr>
            </w:pPr>
            <w:r w:rsidRPr="00A56E9C">
              <w:rPr>
                <w:b/>
                <w:sz w:val="18"/>
                <w:szCs w:val="18"/>
                <w:lang w:val="en-US"/>
              </w:rPr>
              <w:t>Island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0" w:type="dxa"/>
          </w:tcPr>
          <w:p w:rsidR="00C941F7" w:rsidRPr="00A56E9C" w:rsidRDefault="00C941F7" w:rsidP="00D10CED">
            <w:pPr>
              <w:spacing w:after="0" w:line="240" w:lineRule="auto"/>
              <w:rPr>
                <w:b/>
                <w:sz w:val="18"/>
                <w:szCs w:val="18"/>
                <w:lang w:val="en-US"/>
              </w:rPr>
            </w:pPr>
            <w:r w:rsidRPr="00A56E9C">
              <w:rPr>
                <w:b/>
                <w:sz w:val="18"/>
                <w:szCs w:val="18"/>
                <w:lang w:val="en-US"/>
              </w:rPr>
              <w:t>Fluid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Level</w:t>
            </w:r>
          </w:p>
        </w:tc>
        <w:tc>
          <w:tcPr>
            <w:tcW w:w="989" w:type="dxa"/>
          </w:tcPr>
          <w:p w:rsidR="00C941F7" w:rsidRPr="00A56E9C" w:rsidRDefault="00C941F7" w:rsidP="00D10CED">
            <w:pPr>
              <w:spacing w:after="0" w:line="240" w:lineRule="auto"/>
              <w:rPr>
                <w:b/>
                <w:sz w:val="18"/>
                <w:szCs w:val="18"/>
                <w:lang w:val="en-US"/>
              </w:rPr>
            </w:pPr>
            <w:r w:rsidRPr="00A56E9C">
              <w:rPr>
                <w:b/>
                <w:sz w:val="18"/>
                <w:szCs w:val="18"/>
                <w:lang w:val="en-US"/>
              </w:rPr>
              <w:t>Blend</w:t>
            </w:r>
          </w:p>
          <w:p w:rsidR="00C941F7" w:rsidRPr="00A56E9C" w:rsidRDefault="00C941F7" w:rsidP="00D10CED">
            <w:pPr>
              <w:spacing w:after="0" w:line="240" w:lineRule="auto"/>
              <w:rPr>
                <w:b/>
                <w:noProof/>
                <w:sz w:val="18"/>
                <w:szCs w:val="18"/>
                <w:u w:val="single"/>
                <w:lang w:val="en-US" w:eastAsia="it-IT"/>
              </w:rPr>
            </w:pPr>
            <w:r w:rsidRPr="00A56E9C">
              <w:rPr>
                <w:b/>
                <w:sz w:val="18"/>
                <w:szCs w:val="18"/>
              </w:rPr>
              <w:t>Sign</w:t>
            </w:r>
          </w:p>
        </w:tc>
        <w:tc>
          <w:tcPr>
            <w:tcW w:w="1370"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rPr>
              <w:t>Irregular Shape</w:t>
            </w:r>
          </w:p>
        </w:tc>
        <w:tc>
          <w:tcPr>
            <w:tcW w:w="1501"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rPr>
              <w:t>Heterogeneous Density</w:t>
            </w:r>
          </w:p>
        </w:tc>
      </w:tr>
      <w:tr w:rsidR="00C941F7" w:rsidTr="00D10CED">
        <w:tc>
          <w:tcPr>
            <w:tcW w:w="1526" w:type="dxa"/>
          </w:tcPr>
          <w:p w:rsidR="00C941F7" w:rsidRPr="008A1BD9" w:rsidRDefault="00C941F7" w:rsidP="00D10CED">
            <w:pPr>
              <w:spacing w:after="0" w:line="240" w:lineRule="auto"/>
              <w:rPr>
                <w:sz w:val="18"/>
                <w:szCs w:val="18"/>
              </w:rPr>
            </w:pPr>
            <w:r w:rsidRPr="008A1BD9">
              <w:rPr>
                <w:b/>
                <w:sz w:val="18"/>
                <w:szCs w:val="18"/>
                <w:u w:val="single"/>
              </w:rPr>
              <w:t>N</w:t>
            </w:r>
          </w:p>
        </w:tc>
        <w:tc>
          <w:tcPr>
            <w:tcW w:w="1134" w:type="dxa"/>
          </w:tcPr>
          <w:p w:rsidR="00C941F7" w:rsidRPr="008A1BD9" w:rsidRDefault="00C941F7" w:rsidP="00D10CED">
            <w:pPr>
              <w:spacing w:after="0" w:line="240" w:lineRule="auto"/>
              <w:rPr>
                <w:sz w:val="18"/>
                <w:szCs w:val="18"/>
              </w:rPr>
            </w:pPr>
            <w:r w:rsidRPr="008A1BD9">
              <w:rPr>
                <w:b/>
                <w:sz w:val="18"/>
                <w:szCs w:val="18"/>
                <w:u w:val="single"/>
              </w:rPr>
              <w:t>N</w:t>
            </w:r>
          </w:p>
        </w:tc>
        <w:tc>
          <w:tcPr>
            <w:tcW w:w="780" w:type="dxa"/>
          </w:tcPr>
          <w:p w:rsidR="00C941F7" w:rsidRPr="008A1BD9" w:rsidRDefault="00C941F7" w:rsidP="00D10CED">
            <w:pPr>
              <w:spacing w:after="0" w:line="240" w:lineRule="auto"/>
              <w:rPr>
                <w:sz w:val="18"/>
                <w:szCs w:val="18"/>
              </w:rPr>
            </w:pPr>
            <w:r w:rsidRPr="008A1BD9">
              <w:rPr>
                <w:b/>
                <w:sz w:val="18"/>
                <w:szCs w:val="18"/>
                <w:u w:val="single"/>
              </w:rPr>
              <w:t>N</w:t>
            </w:r>
          </w:p>
        </w:tc>
        <w:tc>
          <w:tcPr>
            <w:tcW w:w="1116" w:type="dxa"/>
          </w:tcPr>
          <w:p w:rsidR="00C941F7" w:rsidRPr="008A1BD9" w:rsidRDefault="00C941F7" w:rsidP="00D10CED">
            <w:pPr>
              <w:spacing w:after="0" w:line="240" w:lineRule="auto"/>
              <w:rPr>
                <w:sz w:val="18"/>
                <w:szCs w:val="18"/>
              </w:rPr>
            </w:pPr>
            <w:r w:rsidRPr="008A1BD9">
              <w:rPr>
                <w:b/>
                <w:sz w:val="18"/>
                <w:szCs w:val="18"/>
                <w:u w:val="single"/>
              </w:rPr>
              <w:t>N</w:t>
            </w:r>
          </w:p>
        </w:tc>
        <w:tc>
          <w:tcPr>
            <w:tcW w:w="858" w:type="dxa"/>
          </w:tcPr>
          <w:p w:rsidR="00C941F7" w:rsidRPr="008A1BD9" w:rsidRDefault="00C941F7" w:rsidP="00D10CED">
            <w:pPr>
              <w:spacing w:after="0" w:line="240" w:lineRule="auto"/>
              <w:rPr>
                <w:sz w:val="18"/>
                <w:szCs w:val="18"/>
              </w:rPr>
            </w:pPr>
            <w:r w:rsidRPr="008A1BD9">
              <w:rPr>
                <w:b/>
                <w:sz w:val="18"/>
                <w:szCs w:val="18"/>
                <w:u w:val="single"/>
              </w:rPr>
              <w:t>N</w:t>
            </w:r>
          </w:p>
        </w:tc>
        <w:tc>
          <w:tcPr>
            <w:tcW w:w="850" w:type="dxa"/>
          </w:tcPr>
          <w:p w:rsidR="00C941F7" w:rsidRPr="008A1BD9" w:rsidRDefault="00C941F7" w:rsidP="00D10CED">
            <w:pPr>
              <w:spacing w:after="0" w:line="240" w:lineRule="auto"/>
              <w:rPr>
                <w:sz w:val="18"/>
                <w:szCs w:val="18"/>
              </w:rPr>
            </w:pPr>
            <w:r w:rsidRPr="008A1BD9">
              <w:rPr>
                <w:b/>
                <w:sz w:val="18"/>
                <w:szCs w:val="18"/>
                <w:u w:val="single"/>
              </w:rPr>
              <w:t>P</w:t>
            </w:r>
            <w:r w:rsidRPr="008A1BD9">
              <w:rPr>
                <w:sz w:val="18"/>
                <w:szCs w:val="18"/>
              </w:rPr>
              <w:t xml:space="preserve"> A1</w:t>
            </w:r>
          </w:p>
        </w:tc>
        <w:tc>
          <w:tcPr>
            <w:tcW w:w="989" w:type="dxa"/>
          </w:tcPr>
          <w:p w:rsidR="00C941F7" w:rsidRPr="008A1BD9" w:rsidRDefault="00C941F7" w:rsidP="00D10CED">
            <w:pPr>
              <w:spacing w:after="0" w:line="240" w:lineRule="auto"/>
              <w:rPr>
                <w:sz w:val="18"/>
                <w:szCs w:val="18"/>
              </w:rPr>
            </w:pPr>
            <w:r w:rsidRPr="008A1BD9">
              <w:rPr>
                <w:b/>
                <w:sz w:val="18"/>
                <w:szCs w:val="18"/>
                <w:u w:val="single"/>
              </w:rPr>
              <w:t>P</w:t>
            </w:r>
            <w:r w:rsidRPr="008A1BD9">
              <w:rPr>
                <w:sz w:val="18"/>
                <w:szCs w:val="18"/>
              </w:rPr>
              <w:t xml:space="preserve"> A1 – A2 – B1</w:t>
            </w:r>
          </w:p>
        </w:tc>
        <w:tc>
          <w:tcPr>
            <w:tcW w:w="1370" w:type="dxa"/>
          </w:tcPr>
          <w:p w:rsidR="00C941F7" w:rsidRPr="008A1BD9" w:rsidRDefault="00C941F7" w:rsidP="00D10CED">
            <w:pPr>
              <w:spacing w:after="0" w:line="240" w:lineRule="auto"/>
              <w:rPr>
                <w:sz w:val="18"/>
                <w:szCs w:val="18"/>
              </w:rPr>
            </w:pPr>
            <w:r w:rsidRPr="008A1BD9">
              <w:rPr>
                <w:b/>
                <w:sz w:val="18"/>
                <w:szCs w:val="18"/>
                <w:u w:val="single"/>
              </w:rPr>
              <w:t>I</w:t>
            </w:r>
          </w:p>
        </w:tc>
        <w:tc>
          <w:tcPr>
            <w:tcW w:w="1501" w:type="dxa"/>
          </w:tcPr>
          <w:p w:rsidR="00C941F7" w:rsidRPr="008A1BD9" w:rsidRDefault="00C941F7" w:rsidP="00D10CED">
            <w:pPr>
              <w:spacing w:after="0" w:line="240" w:lineRule="auto"/>
              <w:rPr>
                <w:b/>
                <w:sz w:val="18"/>
                <w:szCs w:val="18"/>
                <w:u w:val="single"/>
              </w:rPr>
            </w:pPr>
            <w:r w:rsidRPr="008A1BD9">
              <w:rPr>
                <w:b/>
                <w:sz w:val="18"/>
                <w:szCs w:val="18"/>
                <w:u w:val="single"/>
              </w:rPr>
              <w:t>II</w:t>
            </w:r>
          </w:p>
        </w:tc>
      </w:tr>
    </w:tbl>
    <w:p w:rsidR="00C941F7" w:rsidRPr="007C453D" w:rsidRDefault="00C941F7" w:rsidP="00C941F7">
      <w:pPr>
        <w:rPr>
          <w:sz w:val="20"/>
          <w:szCs w:val="20"/>
        </w:rPr>
      </w:pPr>
    </w:p>
    <w:tbl>
      <w:tblPr>
        <w:tblStyle w:val="TableGrid"/>
        <w:tblW w:w="101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26"/>
        <w:gridCol w:w="1134"/>
        <w:gridCol w:w="780"/>
        <w:gridCol w:w="921"/>
        <w:gridCol w:w="195"/>
        <w:gridCol w:w="514"/>
        <w:gridCol w:w="344"/>
        <w:gridCol w:w="364"/>
        <w:gridCol w:w="486"/>
        <w:gridCol w:w="989"/>
        <w:gridCol w:w="226"/>
        <w:gridCol w:w="1144"/>
        <w:gridCol w:w="1501"/>
      </w:tblGrid>
      <w:tr w:rsidR="00C941F7" w:rsidTr="00D10CED">
        <w:tc>
          <w:tcPr>
            <w:tcW w:w="10124" w:type="dxa"/>
            <w:gridSpan w:val="13"/>
            <w:shd w:val="pct15" w:color="auto" w:fill="auto"/>
            <w:vAlign w:val="center"/>
          </w:tcPr>
          <w:p w:rsidR="00C941F7" w:rsidRPr="001A2F73" w:rsidRDefault="00C941F7" w:rsidP="00D10CED">
            <w:pPr>
              <w:spacing w:after="0"/>
              <w:rPr>
                <w:b/>
                <w:noProof/>
                <w:sz w:val="20"/>
                <w:szCs w:val="20"/>
                <w:lang w:val="en-US" w:eastAsia="it-IT"/>
              </w:rPr>
            </w:pPr>
            <w:r>
              <w:rPr>
                <w:b/>
                <w:noProof/>
                <w:sz w:val="20"/>
                <w:szCs w:val="20"/>
                <w:lang w:val="en-US" w:eastAsia="it-IT"/>
              </w:rPr>
              <w:t>TRAINING CASE 19</w:t>
            </w:r>
          </w:p>
        </w:tc>
      </w:tr>
      <w:tr w:rsidR="00C941F7" w:rsidTr="00D10CED">
        <w:tc>
          <w:tcPr>
            <w:tcW w:w="10124" w:type="dxa"/>
            <w:gridSpan w:val="13"/>
          </w:tcPr>
          <w:p w:rsidR="00C941F7" w:rsidRDefault="00C941F7" w:rsidP="00D10CED">
            <w:pPr>
              <w:spacing w:before="60" w:after="60"/>
              <w:jc w:val="center"/>
              <w:rPr>
                <w:b/>
                <w:noProof/>
                <w:sz w:val="20"/>
                <w:szCs w:val="20"/>
                <w:u w:val="single"/>
                <w:lang w:val="en-US" w:eastAsia="it-IT"/>
              </w:rPr>
            </w:pPr>
            <w:r w:rsidRPr="007C453D">
              <w:rPr>
                <w:noProof/>
                <w:sz w:val="20"/>
                <w:szCs w:val="20"/>
                <w:lang w:val="en-US"/>
              </w:rPr>
              <w:drawing>
                <wp:inline distT="0" distB="0" distL="0" distR="0" wp14:anchorId="19417F07" wp14:editId="00B2ED5D">
                  <wp:extent cx="3052800" cy="316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2800" cy="3164400"/>
                          </a:xfrm>
                          <a:prstGeom prst="rect">
                            <a:avLst/>
                          </a:prstGeom>
                          <a:noFill/>
                          <a:ln>
                            <a:noFill/>
                          </a:ln>
                        </pic:spPr>
                      </pic:pic>
                    </a:graphicData>
                  </a:graphic>
                </wp:inline>
              </w:drawing>
            </w:r>
          </w:p>
        </w:tc>
      </w:tr>
      <w:tr w:rsidR="00C941F7" w:rsidTr="00D10CED">
        <w:tc>
          <w:tcPr>
            <w:tcW w:w="1526"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Hypodensities</w:t>
            </w:r>
          </w:p>
        </w:tc>
        <w:tc>
          <w:tcPr>
            <w:tcW w:w="1134"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Black Hole Sign</w:t>
            </w:r>
          </w:p>
        </w:tc>
        <w:tc>
          <w:tcPr>
            <w:tcW w:w="780" w:type="dxa"/>
          </w:tcPr>
          <w:p w:rsidR="00C941F7" w:rsidRPr="00A56E9C" w:rsidRDefault="00C941F7" w:rsidP="00D10CED">
            <w:pPr>
              <w:spacing w:after="0" w:line="240" w:lineRule="auto"/>
              <w:rPr>
                <w:b/>
                <w:sz w:val="18"/>
                <w:szCs w:val="18"/>
                <w:lang w:val="en-US"/>
              </w:rPr>
            </w:pPr>
            <w:r w:rsidRPr="00A56E9C">
              <w:rPr>
                <w:b/>
                <w:sz w:val="18"/>
                <w:szCs w:val="18"/>
                <w:lang w:val="en-US"/>
              </w:rPr>
              <w:t>Swirl</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1116"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Satellite</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8"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Island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850"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Fluid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Level</w:t>
            </w:r>
          </w:p>
        </w:tc>
        <w:tc>
          <w:tcPr>
            <w:tcW w:w="989" w:type="dxa"/>
          </w:tcPr>
          <w:p w:rsidR="00C941F7" w:rsidRPr="00A56E9C" w:rsidRDefault="00C941F7" w:rsidP="00D10CED">
            <w:pPr>
              <w:spacing w:after="0" w:line="240" w:lineRule="auto"/>
              <w:rPr>
                <w:b/>
                <w:sz w:val="18"/>
                <w:szCs w:val="18"/>
                <w:lang w:val="en-US"/>
              </w:rPr>
            </w:pPr>
            <w:r w:rsidRPr="00A56E9C">
              <w:rPr>
                <w:b/>
                <w:sz w:val="18"/>
                <w:szCs w:val="18"/>
                <w:lang w:val="en-US"/>
              </w:rPr>
              <w:t>Blend</w:t>
            </w:r>
          </w:p>
          <w:p w:rsidR="00C941F7" w:rsidRPr="00A56E9C" w:rsidRDefault="00C941F7" w:rsidP="00D10CED">
            <w:pPr>
              <w:spacing w:after="0" w:line="240" w:lineRule="auto"/>
              <w:rPr>
                <w:b/>
                <w:noProof/>
                <w:sz w:val="18"/>
                <w:szCs w:val="18"/>
                <w:u w:val="single"/>
                <w:lang w:val="en-US" w:eastAsia="it-IT"/>
              </w:rPr>
            </w:pPr>
            <w:r w:rsidRPr="00A56E9C">
              <w:rPr>
                <w:b/>
                <w:sz w:val="18"/>
                <w:szCs w:val="18"/>
              </w:rPr>
              <w:t>Sign</w:t>
            </w:r>
          </w:p>
        </w:tc>
        <w:tc>
          <w:tcPr>
            <w:tcW w:w="1370" w:type="dxa"/>
            <w:gridSpan w:val="2"/>
          </w:tcPr>
          <w:p w:rsidR="00C941F7" w:rsidRPr="00A56E9C" w:rsidRDefault="00C941F7" w:rsidP="00D10CED">
            <w:pPr>
              <w:spacing w:after="0" w:line="240" w:lineRule="auto"/>
              <w:rPr>
                <w:b/>
                <w:noProof/>
                <w:sz w:val="18"/>
                <w:szCs w:val="18"/>
                <w:u w:val="single"/>
                <w:lang w:val="en-US" w:eastAsia="it-IT"/>
              </w:rPr>
            </w:pPr>
            <w:r w:rsidRPr="00A56E9C">
              <w:rPr>
                <w:b/>
                <w:sz w:val="18"/>
                <w:szCs w:val="18"/>
              </w:rPr>
              <w:t>Irregular Shape</w:t>
            </w:r>
          </w:p>
        </w:tc>
        <w:tc>
          <w:tcPr>
            <w:tcW w:w="1501"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rPr>
              <w:t>Heterogeneous Density</w:t>
            </w:r>
          </w:p>
        </w:tc>
      </w:tr>
      <w:tr w:rsidR="00C941F7" w:rsidTr="00D10CED">
        <w:tc>
          <w:tcPr>
            <w:tcW w:w="1526" w:type="dxa"/>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lastRenderedPageBreak/>
              <w:t>N</w:t>
            </w:r>
          </w:p>
        </w:tc>
        <w:tc>
          <w:tcPr>
            <w:tcW w:w="1134" w:type="dxa"/>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N</w:t>
            </w:r>
          </w:p>
        </w:tc>
        <w:tc>
          <w:tcPr>
            <w:tcW w:w="780" w:type="dxa"/>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N</w:t>
            </w:r>
          </w:p>
        </w:tc>
        <w:tc>
          <w:tcPr>
            <w:tcW w:w="1116" w:type="dxa"/>
            <w:gridSpan w:val="2"/>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N</w:t>
            </w:r>
          </w:p>
        </w:tc>
        <w:tc>
          <w:tcPr>
            <w:tcW w:w="858" w:type="dxa"/>
            <w:gridSpan w:val="2"/>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N</w:t>
            </w:r>
          </w:p>
        </w:tc>
        <w:tc>
          <w:tcPr>
            <w:tcW w:w="850" w:type="dxa"/>
            <w:gridSpan w:val="2"/>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N</w:t>
            </w:r>
          </w:p>
        </w:tc>
        <w:tc>
          <w:tcPr>
            <w:tcW w:w="989" w:type="dxa"/>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N</w:t>
            </w:r>
          </w:p>
        </w:tc>
        <w:tc>
          <w:tcPr>
            <w:tcW w:w="1370" w:type="dxa"/>
            <w:gridSpan w:val="2"/>
            <w:tcBorders>
              <w:bottom w:val="single" w:sz="12" w:space="0" w:color="auto"/>
            </w:tcBorders>
          </w:tcPr>
          <w:p w:rsidR="00C941F7" w:rsidRPr="008A1BD9" w:rsidRDefault="00C941F7" w:rsidP="00D10CED">
            <w:pPr>
              <w:spacing w:after="40" w:line="240" w:lineRule="auto"/>
              <w:rPr>
                <w:sz w:val="18"/>
                <w:szCs w:val="18"/>
              </w:rPr>
            </w:pPr>
            <w:r w:rsidRPr="008A1BD9">
              <w:rPr>
                <w:b/>
                <w:sz w:val="18"/>
                <w:szCs w:val="18"/>
                <w:u w:val="single"/>
              </w:rPr>
              <w:t>I</w:t>
            </w:r>
          </w:p>
        </w:tc>
        <w:tc>
          <w:tcPr>
            <w:tcW w:w="1501" w:type="dxa"/>
            <w:tcBorders>
              <w:bottom w:val="single" w:sz="12" w:space="0" w:color="auto"/>
            </w:tcBorders>
          </w:tcPr>
          <w:p w:rsidR="00C941F7" w:rsidRPr="008A1BD9" w:rsidRDefault="00C941F7" w:rsidP="00D10CED">
            <w:pPr>
              <w:spacing w:after="40" w:line="240" w:lineRule="auto"/>
              <w:rPr>
                <w:b/>
                <w:sz w:val="18"/>
                <w:szCs w:val="18"/>
                <w:u w:val="single"/>
              </w:rPr>
            </w:pPr>
            <w:r w:rsidRPr="008A1BD9">
              <w:rPr>
                <w:b/>
                <w:sz w:val="18"/>
                <w:szCs w:val="18"/>
                <w:u w:val="single"/>
              </w:rPr>
              <w:t>I</w:t>
            </w:r>
          </w:p>
        </w:tc>
      </w:tr>
      <w:tr w:rsidR="00C941F7" w:rsidTr="00D10CED">
        <w:trPr>
          <w:trHeight w:val="64"/>
        </w:trPr>
        <w:tc>
          <w:tcPr>
            <w:tcW w:w="10124" w:type="dxa"/>
            <w:gridSpan w:val="13"/>
            <w:tcBorders>
              <w:top w:val="single" w:sz="12" w:space="0" w:color="auto"/>
              <w:bottom w:val="single" w:sz="6" w:space="0" w:color="auto"/>
            </w:tcBorders>
            <w:shd w:val="pct15" w:color="auto" w:fill="auto"/>
          </w:tcPr>
          <w:p w:rsidR="00C941F7" w:rsidRDefault="00C941F7" w:rsidP="00D10CED">
            <w:pPr>
              <w:spacing w:after="0"/>
              <w:rPr>
                <w:b/>
                <w:noProof/>
                <w:sz w:val="20"/>
                <w:szCs w:val="20"/>
                <w:u w:val="single"/>
                <w:lang w:val="en-US" w:eastAsia="it-IT"/>
              </w:rPr>
            </w:pPr>
            <w:r>
              <w:rPr>
                <w:b/>
                <w:noProof/>
                <w:sz w:val="20"/>
                <w:szCs w:val="20"/>
                <w:lang w:val="en-US" w:eastAsia="it-IT"/>
              </w:rPr>
              <w:t>TRAINING CASE 20</w:t>
            </w:r>
          </w:p>
        </w:tc>
      </w:tr>
      <w:tr w:rsidR="00C941F7" w:rsidTr="00D10CED">
        <w:tc>
          <w:tcPr>
            <w:tcW w:w="10124" w:type="dxa"/>
            <w:gridSpan w:val="13"/>
            <w:tcBorders>
              <w:top w:val="single" w:sz="6" w:space="0" w:color="auto"/>
            </w:tcBorders>
          </w:tcPr>
          <w:p w:rsidR="00C941F7" w:rsidRDefault="00C941F7" w:rsidP="00D10CED">
            <w:pPr>
              <w:spacing w:before="60" w:after="60"/>
              <w:jc w:val="center"/>
              <w:rPr>
                <w:b/>
                <w:noProof/>
                <w:sz w:val="20"/>
                <w:szCs w:val="20"/>
                <w:lang w:val="en-US" w:eastAsia="it-IT"/>
              </w:rPr>
            </w:pPr>
            <w:r w:rsidRPr="007C453D">
              <w:rPr>
                <w:noProof/>
                <w:sz w:val="20"/>
                <w:szCs w:val="20"/>
                <w:lang w:val="en-US"/>
              </w:rPr>
              <w:drawing>
                <wp:inline distT="0" distB="0" distL="0" distR="0" wp14:anchorId="6B48B6A4" wp14:editId="5F9391B6">
                  <wp:extent cx="3085200" cy="3232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85200" cy="3232800"/>
                          </a:xfrm>
                          <a:prstGeom prst="rect">
                            <a:avLst/>
                          </a:prstGeom>
                          <a:noFill/>
                          <a:ln>
                            <a:noFill/>
                          </a:ln>
                        </pic:spPr>
                      </pic:pic>
                    </a:graphicData>
                  </a:graphic>
                </wp:inline>
              </w:drawing>
            </w:r>
          </w:p>
        </w:tc>
      </w:tr>
      <w:tr w:rsidR="00C941F7" w:rsidRPr="001A2F73" w:rsidTr="00D10CED">
        <w:tc>
          <w:tcPr>
            <w:tcW w:w="1526"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Hypodensities</w:t>
            </w:r>
          </w:p>
        </w:tc>
        <w:tc>
          <w:tcPr>
            <w:tcW w:w="1134"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Black Hole Sign</w:t>
            </w:r>
          </w:p>
        </w:tc>
        <w:tc>
          <w:tcPr>
            <w:tcW w:w="780" w:type="dxa"/>
          </w:tcPr>
          <w:p w:rsidR="00C941F7" w:rsidRPr="00A56E9C" w:rsidRDefault="00C941F7" w:rsidP="00D10CED">
            <w:pPr>
              <w:spacing w:after="0" w:line="240" w:lineRule="auto"/>
              <w:rPr>
                <w:b/>
                <w:sz w:val="18"/>
                <w:szCs w:val="18"/>
                <w:lang w:val="en-US"/>
              </w:rPr>
            </w:pPr>
            <w:r w:rsidRPr="00A56E9C">
              <w:rPr>
                <w:b/>
                <w:sz w:val="18"/>
                <w:szCs w:val="18"/>
                <w:lang w:val="en-US"/>
              </w:rPr>
              <w:t>Swirl</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921" w:type="dxa"/>
          </w:tcPr>
          <w:p w:rsidR="00C941F7" w:rsidRPr="00A56E9C" w:rsidRDefault="00C941F7" w:rsidP="00D10CED">
            <w:pPr>
              <w:spacing w:after="0" w:line="240" w:lineRule="auto"/>
              <w:rPr>
                <w:b/>
                <w:sz w:val="18"/>
                <w:szCs w:val="18"/>
                <w:lang w:val="en-US"/>
              </w:rPr>
            </w:pPr>
            <w:r w:rsidRPr="00A56E9C">
              <w:rPr>
                <w:b/>
                <w:sz w:val="18"/>
                <w:szCs w:val="18"/>
                <w:lang w:val="en-US"/>
              </w:rPr>
              <w:t>Satellite</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709"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Island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Sign</w:t>
            </w:r>
          </w:p>
        </w:tc>
        <w:tc>
          <w:tcPr>
            <w:tcW w:w="708" w:type="dxa"/>
            <w:gridSpan w:val="2"/>
          </w:tcPr>
          <w:p w:rsidR="00C941F7" w:rsidRPr="00A56E9C" w:rsidRDefault="00C941F7" w:rsidP="00D10CED">
            <w:pPr>
              <w:spacing w:after="0" w:line="240" w:lineRule="auto"/>
              <w:rPr>
                <w:b/>
                <w:sz w:val="18"/>
                <w:szCs w:val="18"/>
                <w:lang w:val="en-US"/>
              </w:rPr>
            </w:pPr>
            <w:r w:rsidRPr="00A56E9C">
              <w:rPr>
                <w:b/>
                <w:sz w:val="18"/>
                <w:szCs w:val="18"/>
                <w:lang w:val="en-US"/>
              </w:rPr>
              <w:t>Fluid</w:t>
            </w:r>
          </w:p>
          <w:p w:rsidR="00C941F7" w:rsidRPr="00A56E9C" w:rsidRDefault="00C941F7" w:rsidP="00D10CED">
            <w:pPr>
              <w:spacing w:after="0" w:line="240" w:lineRule="auto"/>
              <w:rPr>
                <w:b/>
                <w:noProof/>
                <w:sz w:val="18"/>
                <w:szCs w:val="18"/>
                <w:u w:val="single"/>
                <w:lang w:val="en-US" w:eastAsia="it-IT"/>
              </w:rPr>
            </w:pPr>
            <w:r w:rsidRPr="00A56E9C">
              <w:rPr>
                <w:b/>
                <w:sz w:val="18"/>
                <w:szCs w:val="18"/>
                <w:lang w:val="en-US"/>
              </w:rPr>
              <w:t>Level</w:t>
            </w:r>
          </w:p>
        </w:tc>
        <w:tc>
          <w:tcPr>
            <w:tcW w:w="1701" w:type="dxa"/>
            <w:gridSpan w:val="3"/>
          </w:tcPr>
          <w:p w:rsidR="00C941F7" w:rsidRPr="00A56E9C" w:rsidRDefault="00C941F7" w:rsidP="00D10CED">
            <w:pPr>
              <w:spacing w:after="0" w:line="240" w:lineRule="auto"/>
              <w:rPr>
                <w:b/>
                <w:sz w:val="18"/>
                <w:szCs w:val="18"/>
                <w:lang w:val="en-US"/>
              </w:rPr>
            </w:pPr>
            <w:r w:rsidRPr="00A56E9C">
              <w:rPr>
                <w:b/>
                <w:sz w:val="18"/>
                <w:szCs w:val="18"/>
                <w:lang w:val="en-US"/>
              </w:rPr>
              <w:t>Blend</w:t>
            </w:r>
          </w:p>
          <w:p w:rsidR="00C941F7" w:rsidRPr="00A56E9C" w:rsidRDefault="00C941F7" w:rsidP="00D10CED">
            <w:pPr>
              <w:spacing w:after="0" w:line="240" w:lineRule="auto"/>
              <w:rPr>
                <w:b/>
                <w:noProof/>
                <w:sz w:val="18"/>
                <w:szCs w:val="18"/>
                <w:u w:val="single"/>
                <w:lang w:val="en-US" w:eastAsia="it-IT"/>
              </w:rPr>
            </w:pPr>
            <w:r w:rsidRPr="00A56E9C">
              <w:rPr>
                <w:b/>
                <w:sz w:val="18"/>
                <w:szCs w:val="18"/>
              </w:rPr>
              <w:t>Sign</w:t>
            </w:r>
          </w:p>
        </w:tc>
        <w:tc>
          <w:tcPr>
            <w:tcW w:w="1144"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rPr>
              <w:t>Irregular Shape</w:t>
            </w:r>
          </w:p>
        </w:tc>
        <w:tc>
          <w:tcPr>
            <w:tcW w:w="1501" w:type="dxa"/>
          </w:tcPr>
          <w:p w:rsidR="00C941F7" w:rsidRPr="00A56E9C" w:rsidRDefault="00C941F7" w:rsidP="00D10CED">
            <w:pPr>
              <w:spacing w:after="0" w:line="240" w:lineRule="auto"/>
              <w:rPr>
                <w:b/>
                <w:noProof/>
                <w:sz w:val="18"/>
                <w:szCs w:val="18"/>
                <w:u w:val="single"/>
                <w:lang w:val="en-US" w:eastAsia="it-IT"/>
              </w:rPr>
            </w:pPr>
            <w:r w:rsidRPr="00A56E9C">
              <w:rPr>
                <w:b/>
                <w:sz w:val="18"/>
                <w:szCs w:val="18"/>
              </w:rPr>
              <w:t>Heterogeneous Density</w:t>
            </w:r>
          </w:p>
        </w:tc>
      </w:tr>
      <w:tr w:rsidR="00C941F7" w:rsidTr="00D10CED">
        <w:tc>
          <w:tcPr>
            <w:tcW w:w="1526" w:type="dxa"/>
          </w:tcPr>
          <w:p w:rsidR="00C941F7" w:rsidRPr="008A1BD9" w:rsidRDefault="00C941F7" w:rsidP="00D10CED">
            <w:pPr>
              <w:spacing w:after="0" w:line="240" w:lineRule="auto"/>
              <w:rPr>
                <w:b/>
                <w:sz w:val="18"/>
                <w:szCs w:val="18"/>
                <w:u w:val="single"/>
              </w:rPr>
            </w:pPr>
            <w:r w:rsidRPr="008A1BD9">
              <w:rPr>
                <w:b/>
                <w:sz w:val="18"/>
                <w:szCs w:val="18"/>
                <w:u w:val="single"/>
              </w:rPr>
              <w:t>P</w:t>
            </w:r>
            <w:r w:rsidRPr="008A1BD9">
              <w:rPr>
                <w:sz w:val="18"/>
                <w:szCs w:val="18"/>
              </w:rPr>
              <w:t xml:space="preserve"> A1</w:t>
            </w:r>
          </w:p>
        </w:tc>
        <w:tc>
          <w:tcPr>
            <w:tcW w:w="1134" w:type="dxa"/>
          </w:tcPr>
          <w:p w:rsidR="00C941F7" w:rsidRPr="008A1BD9" w:rsidRDefault="00C941F7" w:rsidP="00D10CED">
            <w:pPr>
              <w:spacing w:after="0" w:line="240" w:lineRule="auto"/>
              <w:rPr>
                <w:b/>
                <w:sz w:val="18"/>
                <w:szCs w:val="18"/>
                <w:u w:val="single"/>
              </w:rPr>
            </w:pPr>
            <w:r w:rsidRPr="008A1BD9">
              <w:rPr>
                <w:b/>
                <w:sz w:val="18"/>
                <w:szCs w:val="18"/>
                <w:u w:val="single"/>
              </w:rPr>
              <w:t>N</w:t>
            </w:r>
          </w:p>
        </w:tc>
        <w:tc>
          <w:tcPr>
            <w:tcW w:w="780" w:type="dxa"/>
          </w:tcPr>
          <w:p w:rsidR="00C941F7" w:rsidRPr="008A1BD9" w:rsidRDefault="00C941F7" w:rsidP="00D10CED">
            <w:pPr>
              <w:spacing w:after="0" w:line="240" w:lineRule="auto"/>
              <w:rPr>
                <w:b/>
                <w:sz w:val="18"/>
                <w:szCs w:val="18"/>
                <w:u w:val="single"/>
              </w:rPr>
            </w:pPr>
            <w:r w:rsidRPr="008A1BD9">
              <w:rPr>
                <w:b/>
                <w:sz w:val="18"/>
                <w:szCs w:val="18"/>
                <w:u w:val="single"/>
              </w:rPr>
              <w:t>P</w:t>
            </w:r>
            <w:r w:rsidRPr="008A1BD9">
              <w:rPr>
                <w:sz w:val="18"/>
                <w:szCs w:val="18"/>
              </w:rPr>
              <w:t xml:space="preserve"> A1</w:t>
            </w:r>
          </w:p>
        </w:tc>
        <w:tc>
          <w:tcPr>
            <w:tcW w:w="921" w:type="dxa"/>
          </w:tcPr>
          <w:p w:rsidR="00C941F7" w:rsidRPr="008A1BD9" w:rsidRDefault="00C941F7" w:rsidP="00D10CED">
            <w:pPr>
              <w:spacing w:after="0" w:line="240" w:lineRule="auto"/>
              <w:rPr>
                <w:sz w:val="18"/>
                <w:szCs w:val="18"/>
              </w:rPr>
            </w:pPr>
            <w:r w:rsidRPr="008A1BD9">
              <w:rPr>
                <w:b/>
                <w:sz w:val="18"/>
                <w:szCs w:val="18"/>
                <w:u w:val="single"/>
              </w:rPr>
              <w:t>N</w:t>
            </w:r>
          </w:p>
        </w:tc>
        <w:tc>
          <w:tcPr>
            <w:tcW w:w="709" w:type="dxa"/>
            <w:gridSpan w:val="2"/>
          </w:tcPr>
          <w:p w:rsidR="00C941F7" w:rsidRPr="008A1BD9" w:rsidRDefault="00C941F7" w:rsidP="00D10CED">
            <w:pPr>
              <w:spacing w:after="0" w:line="240" w:lineRule="auto"/>
              <w:rPr>
                <w:sz w:val="18"/>
                <w:szCs w:val="18"/>
              </w:rPr>
            </w:pPr>
            <w:r w:rsidRPr="008A1BD9">
              <w:rPr>
                <w:b/>
                <w:sz w:val="18"/>
                <w:szCs w:val="18"/>
                <w:u w:val="single"/>
              </w:rPr>
              <w:t>N</w:t>
            </w:r>
          </w:p>
        </w:tc>
        <w:tc>
          <w:tcPr>
            <w:tcW w:w="708" w:type="dxa"/>
            <w:gridSpan w:val="2"/>
          </w:tcPr>
          <w:p w:rsidR="00C941F7" w:rsidRPr="008A1BD9" w:rsidRDefault="00C941F7" w:rsidP="00D10CED">
            <w:pPr>
              <w:spacing w:after="0" w:line="240" w:lineRule="auto"/>
              <w:rPr>
                <w:sz w:val="18"/>
                <w:szCs w:val="18"/>
              </w:rPr>
            </w:pPr>
            <w:r w:rsidRPr="008A1BD9">
              <w:rPr>
                <w:b/>
                <w:sz w:val="18"/>
                <w:szCs w:val="18"/>
                <w:u w:val="single"/>
              </w:rPr>
              <w:t>N</w:t>
            </w:r>
          </w:p>
        </w:tc>
        <w:tc>
          <w:tcPr>
            <w:tcW w:w="1701" w:type="dxa"/>
            <w:gridSpan w:val="3"/>
          </w:tcPr>
          <w:p w:rsidR="00C941F7" w:rsidRPr="00341719" w:rsidRDefault="00C941F7" w:rsidP="00D10CED">
            <w:pPr>
              <w:spacing w:after="0" w:line="240" w:lineRule="auto"/>
              <w:rPr>
                <w:b/>
                <w:sz w:val="18"/>
                <w:szCs w:val="18"/>
                <w:u w:val="single"/>
                <w:lang w:val="en-US"/>
              </w:rPr>
            </w:pPr>
            <w:r w:rsidRPr="00341719">
              <w:rPr>
                <w:b/>
                <w:sz w:val="18"/>
                <w:szCs w:val="18"/>
                <w:u w:val="single"/>
                <w:lang w:val="en-US"/>
              </w:rPr>
              <w:t>N</w:t>
            </w:r>
            <w:r w:rsidRPr="00341719">
              <w:rPr>
                <w:sz w:val="18"/>
                <w:szCs w:val="18"/>
                <w:lang w:val="en-US"/>
              </w:rPr>
              <w:t xml:space="preserve"> (No </w:t>
            </w:r>
            <w:r w:rsidRPr="008A1BD9">
              <w:rPr>
                <w:sz w:val="18"/>
                <w:szCs w:val="18"/>
                <w:lang w:val="en-US"/>
              </w:rPr>
              <w:t>clear separation between the</w:t>
            </w:r>
            <w:r w:rsidRPr="00341719">
              <w:rPr>
                <w:sz w:val="18"/>
                <w:szCs w:val="18"/>
                <w:lang w:val="en-US"/>
              </w:rPr>
              <w:t xml:space="preserve"> hyper and hypoattenuating ICH areas)</w:t>
            </w:r>
          </w:p>
        </w:tc>
        <w:tc>
          <w:tcPr>
            <w:tcW w:w="1144" w:type="dxa"/>
          </w:tcPr>
          <w:p w:rsidR="00C941F7" w:rsidRPr="008A1BD9" w:rsidRDefault="00C941F7" w:rsidP="00D10CED">
            <w:pPr>
              <w:spacing w:after="0" w:line="240" w:lineRule="auto"/>
              <w:rPr>
                <w:b/>
                <w:sz w:val="18"/>
                <w:szCs w:val="18"/>
                <w:u w:val="single"/>
              </w:rPr>
            </w:pPr>
            <w:r w:rsidRPr="008A1BD9">
              <w:rPr>
                <w:b/>
                <w:sz w:val="18"/>
                <w:szCs w:val="18"/>
                <w:u w:val="single"/>
              </w:rPr>
              <w:t>II</w:t>
            </w:r>
          </w:p>
        </w:tc>
        <w:tc>
          <w:tcPr>
            <w:tcW w:w="1501" w:type="dxa"/>
          </w:tcPr>
          <w:p w:rsidR="00C941F7" w:rsidRPr="008A1BD9" w:rsidRDefault="00C941F7" w:rsidP="00D10CED">
            <w:pPr>
              <w:spacing w:after="0" w:line="240" w:lineRule="auto"/>
              <w:rPr>
                <w:b/>
                <w:sz w:val="18"/>
                <w:szCs w:val="18"/>
                <w:u w:val="single"/>
              </w:rPr>
            </w:pPr>
            <w:r w:rsidRPr="008A1BD9">
              <w:rPr>
                <w:b/>
                <w:sz w:val="18"/>
                <w:szCs w:val="18"/>
                <w:u w:val="single"/>
              </w:rPr>
              <w:t>III</w:t>
            </w:r>
          </w:p>
        </w:tc>
      </w:tr>
    </w:tbl>
    <w:p w:rsidR="00C941F7" w:rsidRDefault="00C941F7" w:rsidP="00C941F7">
      <w:pPr>
        <w:spacing w:after="0"/>
        <w:rPr>
          <w:sz w:val="20"/>
          <w:szCs w:val="20"/>
          <w:lang w:val="en-US"/>
        </w:rPr>
      </w:pPr>
      <w:r w:rsidRPr="00A64A15">
        <w:rPr>
          <w:b/>
          <w:sz w:val="20"/>
          <w:szCs w:val="20"/>
          <w:u w:val="single"/>
          <w:lang w:val="en-US"/>
        </w:rPr>
        <w:t>P</w:t>
      </w:r>
      <w:r w:rsidRPr="00341719">
        <w:rPr>
          <w:sz w:val="20"/>
          <w:szCs w:val="20"/>
          <w:lang w:val="en-US"/>
        </w:rPr>
        <w:t xml:space="preserve"> indicates positive; </w:t>
      </w:r>
      <w:r w:rsidRPr="00A64A15">
        <w:rPr>
          <w:b/>
          <w:sz w:val="20"/>
          <w:szCs w:val="20"/>
          <w:u w:val="single"/>
          <w:lang w:val="en-US"/>
        </w:rPr>
        <w:t>N</w:t>
      </w:r>
      <w:r w:rsidRPr="00341719">
        <w:rPr>
          <w:sz w:val="20"/>
          <w:szCs w:val="20"/>
          <w:lang w:val="en-US"/>
        </w:rPr>
        <w:t xml:space="preserve"> indicates negative; ICH indicates intracerebral hemorrhage; NCCT indicates non-contrast computed tomography; irregular shape and heterogeneous density rated using a categorical scale proposed by Barras and Colleagues, ranging from </w:t>
      </w:r>
      <w:r w:rsidRPr="00A64A15">
        <w:rPr>
          <w:b/>
          <w:sz w:val="20"/>
          <w:szCs w:val="20"/>
          <w:u w:val="single"/>
          <w:lang w:val="en-US"/>
        </w:rPr>
        <w:t>I</w:t>
      </w:r>
      <w:r w:rsidRPr="00341719">
        <w:rPr>
          <w:sz w:val="20"/>
          <w:szCs w:val="20"/>
          <w:lang w:val="en-US"/>
        </w:rPr>
        <w:t xml:space="preserve"> (regular shape and homogeneous density) to </w:t>
      </w:r>
      <w:r w:rsidRPr="00A64A15">
        <w:rPr>
          <w:b/>
          <w:sz w:val="20"/>
          <w:szCs w:val="20"/>
          <w:u w:val="single"/>
          <w:lang w:val="en-US"/>
        </w:rPr>
        <w:t>V</w:t>
      </w:r>
      <w:r w:rsidRPr="00341719">
        <w:rPr>
          <w:sz w:val="20"/>
          <w:szCs w:val="20"/>
          <w:lang w:val="en-US"/>
        </w:rPr>
        <w:t xml:space="preserve"> (maximal degree of shape irregularity and heterogeneous density).</w:t>
      </w:r>
    </w:p>
    <w:p w:rsidR="00C941F7" w:rsidRPr="00A64A15" w:rsidRDefault="00C941F7" w:rsidP="00C941F7">
      <w:pPr>
        <w:rPr>
          <w:sz w:val="20"/>
          <w:szCs w:val="20"/>
          <w:lang w:val="en-US"/>
        </w:rPr>
      </w:pPr>
    </w:p>
    <w:p w:rsidR="00C941F7" w:rsidRPr="00A64A15" w:rsidRDefault="00C941F7" w:rsidP="00C941F7">
      <w:pPr>
        <w:rPr>
          <w:sz w:val="20"/>
          <w:szCs w:val="20"/>
          <w:lang w:val="en-US"/>
        </w:rPr>
      </w:pPr>
    </w:p>
    <w:p w:rsidR="00C941F7" w:rsidRPr="00A64A15" w:rsidRDefault="00C941F7" w:rsidP="00C941F7">
      <w:pPr>
        <w:rPr>
          <w:sz w:val="20"/>
          <w:szCs w:val="20"/>
          <w:lang w:val="en-US"/>
        </w:rPr>
      </w:pPr>
    </w:p>
    <w:p w:rsidR="00C941F7" w:rsidRPr="00A64A15" w:rsidRDefault="00C941F7" w:rsidP="00C941F7">
      <w:pPr>
        <w:rPr>
          <w:sz w:val="20"/>
          <w:szCs w:val="20"/>
          <w:lang w:val="en-US"/>
        </w:rPr>
      </w:pPr>
    </w:p>
    <w:p w:rsidR="00C941F7" w:rsidRPr="00A64A15" w:rsidRDefault="00C941F7" w:rsidP="00C941F7">
      <w:pPr>
        <w:rPr>
          <w:sz w:val="20"/>
          <w:szCs w:val="20"/>
          <w:lang w:val="en-US"/>
        </w:rPr>
      </w:pPr>
    </w:p>
    <w:p w:rsidR="00C941F7" w:rsidRPr="00A64A15" w:rsidRDefault="00C941F7" w:rsidP="00C941F7">
      <w:pPr>
        <w:rPr>
          <w:sz w:val="20"/>
          <w:szCs w:val="20"/>
          <w:lang w:val="en-US"/>
        </w:rPr>
      </w:pPr>
    </w:p>
    <w:p w:rsidR="00C941F7" w:rsidRPr="00A64A15" w:rsidRDefault="00C941F7" w:rsidP="00C941F7">
      <w:pPr>
        <w:rPr>
          <w:sz w:val="20"/>
          <w:szCs w:val="20"/>
          <w:lang w:val="en-US"/>
        </w:rPr>
      </w:pPr>
    </w:p>
    <w:p w:rsidR="00C941F7" w:rsidRPr="00A64A15" w:rsidRDefault="00C941F7" w:rsidP="00C941F7">
      <w:pPr>
        <w:rPr>
          <w:sz w:val="20"/>
          <w:szCs w:val="20"/>
          <w:lang w:val="en-US"/>
        </w:rPr>
      </w:pPr>
    </w:p>
    <w:p w:rsidR="00C941F7" w:rsidRPr="00A64A15" w:rsidRDefault="00C941F7" w:rsidP="00C941F7">
      <w:pPr>
        <w:rPr>
          <w:sz w:val="20"/>
          <w:szCs w:val="20"/>
          <w:lang w:val="en-US"/>
        </w:rPr>
      </w:pPr>
    </w:p>
    <w:p w:rsidR="00C941F7" w:rsidRPr="00A64A15" w:rsidRDefault="00C941F7" w:rsidP="00C941F7">
      <w:pPr>
        <w:rPr>
          <w:sz w:val="20"/>
          <w:szCs w:val="20"/>
          <w:lang w:val="en-US"/>
        </w:rPr>
      </w:pPr>
    </w:p>
    <w:p w:rsidR="00C941F7" w:rsidRPr="007303D3" w:rsidRDefault="00C941F7" w:rsidP="00C941F7">
      <w:pPr>
        <w:spacing w:after="0"/>
        <w:rPr>
          <w:sz w:val="20"/>
          <w:szCs w:val="20"/>
          <w:lang w:val="en-US"/>
        </w:rPr>
      </w:pPr>
    </w:p>
    <w:p w:rsidR="00C941F7" w:rsidRPr="00DA38D7" w:rsidRDefault="00C941F7" w:rsidP="00C941F7">
      <w:pPr>
        <w:widowControl w:val="0"/>
        <w:autoSpaceDE w:val="0"/>
        <w:autoSpaceDN w:val="0"/>
        <w:adjustRightInd w:val="0"/>
        <w:spacing w:after="120" w:line="240" w:lineRule="auto"/>
        <w:ind w:left="640" w:hanging="640"/>
        <w:rPr>
          <w:b/>
          <w:sz w:val="20"/>
          <w:szCs w:val="20"/>
          <w:lang w:val="en-US"/>
        </w:rPr>
      </w:pPr>
      <w:r>
        <w:rPr>
          <w:b/>
          <w:sz w:val="20"/>
          <w:szCs w:val="20"/>
          <w:lang w:val="en-US"/>
        </w:rPr>
        <w:t xml:space="preserve"> </w:t>
      </w:r>
    </w:p>
    <w:p w:rsidR="006A1593" w:rsidRPr="00B04EFB" w:rsidRDefault="006A1593" w:rsidP="00EF4A21">
      <w:pPr>
        <w:rPr>
          <w:sz w:val="24"/>
          <w:szCs w:val="24"/>
          <w:lang w:val="en-US"/>
        </w:rPr>
      </w:pPr>
      <w:bookmarkStart w:id="15" w:name="_GoBack"/>
      <w:bookmarkEnd w:id="15"/>
    </w:p>
    <w:sectPr w:rsidR="006A1593" w:rsidRPr="00B04EFB" w:rsidSect="00655211">
      <w:footerReference w:type="default" r:id="rId29"/>
      <w:pgSz w:w="11906" w:h="16838"/>
      <w:pgMar w:top="1417" w:right="1134" w:bottom="1134" w:left="1134"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65A3" w:rsidRDefault="004565A3">
      <w:pPr>
        <w:spacing w:after="0" w:line="240" w:lineRule="auto"/>
      </w:pPr>
      <w:r>
        <w:separator/>
      </w:r>
    </w:p>
  </w:endnote>
  <w:endnote w:type="continuationSeparator" w:id="0">
    <w:p w:rsidR="004565A3" w:rsidRDefault="00456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180" w:rsidRDefault="00863180">
    <w:pPr>
      <w:pStyle w:val="Footer"/>
      <w:jc w:val="right"/>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PAGE   \* MERGEFORMAT</w:instrText>
    </w:r>
    <w:r>
      <w:rPr>
        <w:rFonts w:ascii="Times New Roman" w:hAnsi="Times New Roman"/>
        <w:sz w:val="18"/>
        <w:szCs w:val="18"/>
      </w:rPr>
      <w:fldChar w:fldCharType="separate"/>
    </w:r>
    <w:r w:rsidR="006A1593" w:rsidRPr="006A1593">
      <w:rPr>
        <w:rFonts w:ascii="Times New Roman" w:hAnsi="Times New Roman"/>
        <w:noProof/>
        <w:sz w:val="18"/>
        <w:szCs w:val="18"/>
        <w:lang w:val="fr-FR"/>
      </w:rPr>
      <w:t>28</w:t>
    </w:r>
    <w:r>
      <w:rPr>
        <w:rFonts w:ascii="Times New Roman" w:hAnsi="Times New Roman"/>
        <w:sz w:val="18"/>
        <w:szCs w:val="18"/>
      </w:rPr>
      <w:fldChar w:fldCharType="end"/>
    </w:r>
  </w:p>
  <w:p w:rsidR="00863180" w:rsidRDefault="008631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65A3" w:rsidRDefault="004565A3">
      <w:pPr>
        <w:spacing w:after="0" w:line="240" w:lineRule="auto"/>
      </w:pPr>
      <w:r>
        <w:separator/>
      </w:r>
    </w:p>
  </w:footnote>
  <w:footnote w:type="continuationSeparator" w:id="0">
    <w:p w:rsidR="004565A3" w:rsidRDefault="00456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79E4"/>
    <w:multiLevelType w:val="multilevel"/>
    <w:tmpl w:val="005F79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31B52DC"/>
    <w:multiLevelType w:val="multilevel"/>
    <w:tmpl w:val="031B5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C89161F"/>
    <w:multiLevelType w:val="multilevel"/>
    <w:tmpl w:val="0C89161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A36008"/>
    <w:multiLevelType w:val="hybridMultilevel"/>
    <w:tmpl w:val="67ACC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B96B0A"/>
    <w:multiLevelType w:val="multilevel"/>
    <w:tmpl w:val="42B9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9C01F6B"/>
    <w:multiLevelType w:val="hybridMultilevel"/>
    <w:tmpl w:val="13783E5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B59295E"/>
    <w:multiLevelType w:val="multilevel"/>
    <w:tmpl w:val="5B5929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C3C2A87"/>
    <w:multiLevelType w:val="multilevel"/>
    <w:tmpl w:val="5C3C2A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EB18FB"/>
    <w:multiLevelType w:val="multilevel"/>
    <w:tmpl w:val="66EB18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
  </w:num>
  <w:num w:numId="4">
    <w:abstractNumId w:val="7"/>
  </w:num>
  <w:num w:numId="5">
    <w:abstractNumId w:val="4"/>
  </w:num>
  <w:num w:numId="6">
    <w:abstractNumId w:val="6"/>
  </w:num>
  <w:num w:numId="7">
    <w:abstractNumId w:val="2"/>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56993"/>
    <w:rsid w:val="00006327"/>
    <w:rsid w:val="00012323"/>
    <w:rsid w:val="0001668B"/>
    <w:rsid w:val="000214BC"/>
    <w:rsid w:val="00021E52"/>
    <w:rsid w:val="00036346"/>
    <w:rsid w:val="00037AE3"/>
    <w:rsid w:val="00041897"/>
    <w:rsid w:val="00044D8D"/>
    <w:rsid w:val="00047782"/>
    <w:rsid w:val="000615B2"/>
    <w:rsid w:val="00062924"/>
    <w:rsid w:val="00065411"/>
    <w:rsid w:val="00066FD5"/>
    <w:rsid w:val="00067C63"/>
    <w:rsid w:val="00072865"/>
    <w:rsid w:val="00082FF8"/>
    <w:rsid w:val="00084F3B"/>
    <w:rsid w:val="00087256"/>
    <w:rsid w:val="00091FD6"/>
    <w:rsid w:val="000949DA"/>
    <w:rsid w:val="00096619"/>
    <w:rsid w:val="000A31A7"/>
    <w:rsid w:val="000A4D44"/>
    <w:rsid w:val="000A5467"/>
    <w:rsid w:val="000A62BC"/>
    <w:rsid w:val="000B4C3E"/>
    <w:rsid w:val="000B57F1"/>
    <w:rsid w:val="000B5C73"/>
    <w:rsid w:val="000C1CB7"/>
    <w:rsid w:val="000C44FA"/>
    <w:rsid w:val="000C62F6"/>
    <w:rsid w:val="000D2052"/>
    <w:rsid w:val="000D27D8"/>
    <w:rsid w:val="000E6443"/>
    <w:rsid w:val="000F1C6B"/>
    <w:rsid w:val="000F28E2"/>
    <w:rsid w:val="000F7A5F"/>
    <w:rsid w:val="0010335F"/>
    <w:rsid w:val="0010367F"/>
    <w:rsid w:val="00115920"/>
    <w:rsid w:val="0012052F"/>
    <w:rsid w:val="00132EFD"/>
    <w:rsid w:val="00133727"/>
    <w:rsid w:val="00137B4A"/>
    <w:rsid w:val="0014354C"/>
    <w:rsid w:val="00145184"/>
    <w:rsid w:val="00145884"/>
    <w:rsid w:val="001477B0"/>
    <w:rsid w:val="001501E8"/>
    <w:rsid w:val="001526DE"/>
    <w:rsid w:val="0015740F"/>
    <w:rsid w:val="00157613"/>
    <w:rsid w:val="00160EDB"/>
    <w:rsid w:val="0016779C"/>
    <w:rsid w:val="001712EB"/>
    <w:rsid w:val="0017293F"/>
    <w:rsid w:val="00172D20"/>
    <w:rsid w:val="0017371A"/>
    <w:rsid w:val="001764D8"/>
    <w:rsid w:val="00177707"/>
    <w:rsid w:val="001826A4"/>
    <w:rsid w:val="001834E5"/>
    <w:rsid w:val="001834F4"/>
    <w:rsid w:val="00183C63"/>
    <w:rsid w:val="00184E79"/>
    <w:rsid w:val="0018615B"/>
    <w:rsid w:val="00191C1C"/>
    <w:rsid w:val="001A42DE"/>
    <w:rsid w:val="001C16C4"/>
    <w:rsid w:val="001C2B4D"/>
    <w:rsid w:val="001C3378"/>
    <w:rsid w:val="001C63A6"/>
    <w:rsid w:val="001D0CA5"/>
    <w:rsid w:val="001D455B"/>
    <w:rsid w:val="001D7A6F"/>
    <w:rsid w:val="001E047C"/>
    <w:rsid w:val="001E7255"/>
    <w:rsid w:val="001F4F12"/>
    <w:rsid w:val="001F6572"/>
    <w:rsid w:val="001F672C"/>
    <w:rsid w:val="002009A4"/>
    <w:rsid w:val="00206562"/>
    <w:rsid w:val="00206689"/>
    <w:rsid w:val="00207802"/>
    <w:rsid w:val="002107A0"/>
    <w:rsid w:val="002138F3"/>
    <w:rsid w:val="00221C51"/>
    <w:rsid w:val="00222BFF"/>
    <w:rsid w:val="00227A0C"/>
    <w:rsid w:val="0023115F"/>
    <w:rsid w:val="00241F81"/>
    <w:rsid w:val="00243F6F"/>
    <w:rsid w:val="002443A1"/>
    <w:rsid w:val="00247AA7"/>
    <w:rsid w:val="00252422"/>
    <w:rsid w:val="00252C46"/>
    <w:rsid w:val="00254B06"/>
    <w:rsid w:val="00256518"/>
    <w:rsid w:val="00256993"/>
    <w:rsid w:val="002569D1"/>
    <w:rsid w:val="00256C2D"/>
    <w:rsid w:val="00263F5E"/>
    <w:rsid w:val="00270C6C"/>
    <w:rsid w:val="00274B97"/>
    <w:rsid w:val="0027590E"/>
    <w:rsid w:val="00276D18"/>
    <w:rsid w:val="0028021C"/>
    <w:rsid w:val="002802D0"/>
    <w:rsid w:val="00280D49"/>
    <w:rsid w:val="00282952"/>
    <w:rsid w:val="00282A3E"/>
    <w:rsid w:val="00282FFC"/>
    <w:rsid w:val="00283F27"/>
    <w:rsid w:val="002844C1"/>
    <w:rsid w:val="00284DC9"/>
    <w:rsid w:val="0029378C"/>
    <w:rsid w:val="002A1FD9"/>
    <w:rsid w:val="002B11F1"/>
    <w:rsid w:val="002B23C5"/>
    <w:rsid w:val="002C6358"/>
    <w:rsid w:val="002C7C73"/>
    <w:rsid w:val="002D41A4"/>
    <w:rsid w:val="002E07A5"/>
    <w:rsid w:val="002E45C1"/>
    <w:rsid w:val="002E7098"/>
    <w:rsid w:val="002F3AED"/>
    <w:rsid w:val="002F4652"/>
    <w:rsid w:val="00303BB6"/>
    <w:rsid w:val="003056E8"/>
    <w:rsid w:val="00311055"/>
    <w:rsid w:val="003122C4"/>
    <w:rsid w:val="00334695"/>
    <w:rsid w:val="00341B10"/>
    <w:rsid w:val="003452CE"/>
    <w:rsid w:val="0034798A"/>
    <w:rsid w:val="00350706"/>
    <w:rsid w:val="00354E92"/>
    <w:rsid w:val="003568F1"/>
    <w:rsid w:val="0036351E"/>
    <w:rsid w:val="00364868"/>
    <w:rsid w:val="0037743C"/>
    <w:rsid w:val="00380FCD"/>
    <w:rsid w:val="003812E3"/>
    <w:rsid w:val="003813E7"/>
    <w:rsid w:val="00382491"/>
    <w:rsid w:val="003829A0"/>
    <w:rsid w:val="00383022"/>
    <w:rsid w:val="003861E1"/>
    <w:rsid w:val="003A5057"/>
    <w:rsid w:val="003B0390"/>
    <w:rsid w:val="003B0DC1"/>
    <w:rsid w:val="003B1BBE"/>
    <w:rsid w:val="003B75CF"/>
    <w:rsid w:val="003C0BFD"/>
    <w:rsid w:val="003C2BC6"/>
    <w:rsid w:val="003D054D"/>
    <w:rsid w:val="003D777A"/>
    <w:rsid w:val="003E18BB"/>
    <w:rsid w:val="003E24B0"/>
    <w:rsid w:val="003E36FC"/>
    <w:rsid w:val="003E3EF9"/>
    <w:rsid w:val="003E5133"/>
    <w:rsid w:val="003F5127"/>
    <w:rsid w:val="003F78D6"/>
    <w:rsid w:val="004021BE"/>
    <w:rsid w:val="00402B00"/>
    <w:rsid w:val="00410AFB"/>
    <w:rsid w:val="00413059"/>
    <w:rsid w:val="004159F8"/>
    <w:rsid w:val="00416A5A"/>
    <w:rsid w:val="00416D51"/>
    <w:rsid w:val="0042000B"/>
    <w:rsid w:val="00420040"/>
    <w:rsid w:val="00421F29"/>
    <w:rsid w:val="0042351C"/>
    <w:rsid w:val="0043113C"/>
    <w:rsid w:val="00432D89"/>
    <w:rsid w:val="004337DA"/>
    <w:rsid w:val="004351FA"/>
    <w:rsid w:val="00443B48"/>
    <w:rsid w:val="004565A3"/>
    <w:rsid w:val="00460669"/>
    <w:rsid w:val="00461F92"/>
    <w:rsid w:val="00463723"/>
    <w:rsid w:val="00463A3F"/>
    <w:rsid w:val="00465A85"/>
    <w:rsid w:val="004701F9"/>
    <w:rsid w:val="00471A0C"/>
    <w:rsid w:val="00480BE5"/>
    <w:rsid w:val="004810FB"/>
    <w:rsid w:val="0048121B"/>
    <w:rsid w:val="0048134C"/>
    <w:rsid w:val="00481DBD"/>
    <w:rsid w:val="00493D20"/>
    <w:rsid w:val="00495456"/>
    <w:rsid w:val="004A125F"/>
    <w:rsid w:val="004A25B4"/>
    <w:rsid w:val="004B0643"/>
    <w:rsid w:val="004B09AA"/>
    <w:rsid w:val="004B1C90"/>
    <w:rsid w:val="004B6866"/>
    <w:rsid w:val="004C3055"/>
    <w:rsid w:val="004C53C0"/>
    <w:rsid w:val="004C717C"/>
    <w:rsid w:val="004D28F0"/>
    <w:rsid w:val="004D5BE2"/>
    <w:rsid w:val="004E1660"/>
    <w:rsid w:val="004E2F66"/>
    <w:rsid w:val="004E48C8"/>
    <w:rsid w:val="004E5B4A"/>
    <w:rsid w:val="004E71D1"/>
    <w:rsid w:val="004E7932"/>
    <w:rsid w:val="004F041F"/>
    <w:rsid w:val="004F3CC5"/>
    <w:rsid w:val="004F63AE"/>
    <w:rsid w:val="004F7A28"/>
    <w:rsid w:val="00503CD1"/>
    <w:rsid w:val="00504771"/>
    <w:rsid w:val="005131DD"/>
    <w:rsid w:val="00513870"/>
    <w:rsid w:val="00514573"/>
    <w:rsid w:val="00517C71"/>
    <w:rsid w:val="00526E3B"/>
    <w:rsid w:val="00530E10"/>
    <w:rsid w:val="00534D9C"/>
    <w:rsid w:val="00534F93"/>
    <w:rsid w:val="00536547"/>
    <w:rsid w:val="005404CB"/>
    <w:rsid w:val="005419AC"/>
    <w:rsid w:val="00541DB3"/>
    <w:rsid w:val="00541F4D"/>
    <w:rsid w:val="00544808"/>
    <w:rsid w:val="00553E5D"/>
    <w:rsid w:val="00556335"/>
    <w:rsid w:val="00557C90"/>
    <w:rsid w:val="00560E45"/>
    <w:rsid w:val="005611A2"/>
    <w:rsid w:val="00563EB7"/>
    <w:rsid w:val="005676DA"/>
    <w:rsid w:val="00573BDF"/>
    <w:rsid w:val="0058289C"/>
    <w:rsid w:val="0058387E"/>
    <w:rsid w:val="00585E70"/>
    <w:rsid w:val="00587044"/>
    <w:rsid w:val="00587507"/>
    <w:rsid w:val="00590AA8"/>
    <w:rsid w:val="00593451"/>
    <w:rsid w:val="005956BB"/>
    <w:rsid w:val="005956FF"/>
    <w:rsid w:val="005A0E75"/>
    <w:rsid w:val="005A3756"/>
    <w:rsid w:val="005A45D9"/>
    <w:rsid w:val="005A7C52"/>
    <w:rsid w:val="005B35E3"/>
    <w:rsid w:val="005B4429"/>
    <w:rsid w:val="005B790F"/>
    <w:rsid w:val="005C005E"/>
    <w:rsid w:val="005C16DA"/>
    <w:rsid w:val="005D2DF5"/>
    <w:rsid w:val="005D3B4C"/>
    <w:rsid w:val="005D5620"/>
    <w:rsid w:val="005D596C"/>
    <w:rsid w:val="005D76A7"/>
    <w:rsid w:val="005D7866"/>
    <w:rsid w:val="005E0897"/>
    <w:rsid w:val="005E0AFB"/>
    <w:rsid w:val="005E10B0"/>
    <w:rsid w:val="005E23A1"/>
    <w:rsid w:val="005E57DC"/>
    <w:rsid w:val="005F44E1"/>
    <w:rsid w:val="0060278D"/>
    <w:rsid w:val="00605676"/>
    <w:rsid w:val="006100EC"/>
    <w:rsid w:val="00613196"/>
    <w:rsid w:val="00613392"/>
    <w:rsid w:val="00613E38"/>
    <w:rsid w:val="00617ACB"/>
    <w:rsid w:val="00623D1C"/>
    <w:rsid w:val="006324EE"/>
    <w:rsid w:val="0063556A"/>
    <w:rsid w:val="006357B1"/>
    <w:rsid w:val="00637536"/>
    <w:rsid w:val="00652AAB"/>
    <w:rsid w:val="00653C6A"/>
    <w:rsid w:val="006548E0"/>
    <w:rsid w:val="00655211"/>
    <w:rsid w:val="00655C83"/>
    <w:rsid w:val="00656479"/>
    <w:rsid w:val="006569F7"/>
    <w:rsid w:val="00656FEF"/>
    <w:rsid w:val="006634E7"/>
    <w:rsid w:val="00664EAD"/>
    <w:rsid w:val="0067154C"/>
    <w:rsid w:val="00673A36"/>
    <w:rsid w:val="00675FCD"/>
    <w:rsid w:val="00676BCF"/>
    <w:rsid w:val="00687D64"/>
    <w:rsid w:val="006902ED"/>
    <w:rsid w:val="00691B7F"/>
    <w:rsid w:val="00693CAA"/>
    <w:rsid w:val="00695C07"/>
    <w:rsid w:val="006A1593"/>
    <w:rsid w:val="006A4782"/>
    <w:rsid w:val="006A5627"/>
    <w:rsid w:val="006B26A0"/>
    <w:rsid w:val="006B79DF"/>
    <w:rsid w:val="006C102B"/>
    <w:rsid w:val="006C12D2"/>
    <w:rsid w:val="006C30A9"/>
    <w:rsid w:val="006C3295"/>
    <w:rsid w:val="006C464C"/>
    <w:rsid w:val="006C6CC6"/>
    <w:rsid w:val="006D1F57"/>
    <w:rsid w:val="006D4FD9"/>
    <w:rsid w:val="006D68A0"/>
    <w:rsid w:val="006D742A"/>
    <w:rsid w:val="006E0082"/>
    <w:rsid w:val="006F1B8F"/>
    <w:rsid w:val="006F5330"/>
    <w:rsid w:val="006F6FA3"/>
    <w:rsid w:val="007005B8"/>
    <w:rsid w:val="00713BA9"/>
    <w:rsid w:val="00720958"/>
    <w:rsid w:val="007230D4"/>
    <w:rsid w:val="00726E94"/>
    <w:rsid w:val="0072709C"/>
    <w:rsid w:val="00731E61"/>
    <w:rsid w:val="0073457E"/>
    <w:rsid w:val="00745665"/>
    <w:rsid w:val="0074782B"/>
    <w:rsid w:val="007564EE"/>
    <w:rsid w:val="007568A0"/>
    <w:rsid w:val="00756B68"/>
    <w:rsid w:val="00757B0F"/>
    <w:rsid w:val="00760411"/>
    <w:rsid w:val="0076410C"/>
    <w:rsid w:val="00765411"/>
    <w:rsid w:val="00772CCC"/>
    <w:rsid w:val="00783D24"/>
    <w:rsid w:val="007925B8"/>
    <w:rsid w:val="007B5EB5"/>
    <w:rsid w:val="007B6373"/>
    <w:rsid w:val="007C1BE9"/>
    <w:rsid w:val="007C5210"/>
    <w:rsid w:val="007D09B1"/>
    <w:rsid w:val="007E38E2"/>
    <w:rsid w:val="007F2B1E"/>
    <w:rsid w:val="007F5AB1"/>
    <w:rsid w:val="007F7E90"/>
    <w:rsid w:val="00800B5C"/>
    <w:rsid w:val="008059C4"/>
    <w:rsid w:val="00805C92"/>
    <w:rsid w:val="0081141C"/>
    <w:rsid w:val="00814405"/>
    <w:rsid w:val="00832932"/>
    <w:rsid w:val="00832A5C"/>
    <w:rsid w:val="00834AF5"/>
    <w:rsid w:val="00844617"/>
    <w:rsid w:val="00844AF8"/>
    <w:rsid w:val="0085363F"/>
    <w:rsid w:val="00854903"/>
    <w:rsid w:val="008609AD"/>
    <w:rsid w:val="00860E1F"/>
    <w:rsid w:val="00863180"/>
    <w:rsid w:val="00865901"/>
    <w:rsid w:val="008667A1"/>
    <w:rsid w:val="00871505"/>
    <w:rsid w:val="008736A3"/>
    <w:rsid w:val="008740E8"/>
    <w:rsid w:val="008770A2"/>
    <w:rsid w:val="008776D1"/>
    <w:rsid w:val="0088042A"/>
    <w:rsid w:val="00881DAB"/>
    <w:rsid w:val="00883CCF"/>
    <w:rsid w:val="00887DBC"/>
    <w:rsid w:val="00890FFD"/>
    <w:rsid w:val="00895395"/>
    <w:rsid w:val="008954D5"/>
    <w:rsid w:val="00897EDC"/>
    <w:rsid w:val="008A0CD0"/>
    <w:rsid w:val="008A71B0"/>
    <w:rsid w:val="008B06EA"/>
    <w:rsid w:val="008B4DDC"/>
    <w:rsid w:val="008B7E26"/>
    <w:rsid w:val="008C1874"/>
    <w:rsid w:val="008C699A"/>
    <w:rsid w:val="008D304F"/>
    <w:rsid w:val="008E2172"/>
    <w:rsid w:val="008E441D"/>
    <w:rsid w:val="008E62B1"/>
    <w:rsid w:val="008F0A37"/>
    <w:rsid w:val="008F3EB9"/>
    <w:rsid w:val="008F46EE"/>
    <w:rsid w:val="008F64BA"/>
    <w:rsid w:val="00907FFB"/>
    <w:rsid w:val="009123A1"/>
    <w:rsid w:val="009134B6"/>
    <w:rsid w:val="009220C0"/>
    <w:rsid w:val="009262C0"/>
    <w:rsid w:val="00932EB9"/>
    <w:rsid w:val="0093503E"/>
    <w:rsid w:val="009358D3"/>
    <w:rsid w:val="009362A3"/>
    <w:rsid w:val="009374D9"/>
    <w:rsid w:val="00937591"/>
    <w:rsid w:val="0095010A"/>
    <w:rsid w:val="0095257F"/>
    <w:rsid w:val="00953612"/>
    <w:rsid w:val="00956D36"/>
    <w:rsid w:val="0095702E"/>
    <w:rsid w:val="00957C8E"/>
    <w:rsid w:val="0096757A"/>
    <w:rsid w:val="009703DC"/>
    <w:rsid w:val="00971DE8"/>
    <w:rsid w:val="00974490"/>
    <w:rsid w:val="00975BF8"/>
    <w:rsid w:val="009769CD"/>
    <w:rsid w:val="0098275B"/>
    <w:rsid w:val="0098441D"/>
    <w:rsid w:val="009853F9"/>
    <w:rsid w:val="0098637B"/>
    <w:rsid w:val="0099101C"/>
    <w:rsid w:val="00996FB0"/>
    <w:rsid w:val="00997396"/>
    <w:rsid w:val="009A06E7"/>
    <w:rsid w:val="009A0E7F"/>
    <w:rsid w:val="009A1BAD"/>
    <w:rsid w:val="009A35FE"/>
    <w:rsid w:val="009A3649"/>
    <w:rsid w:val="009A668B"/>
    <w:rsid w:val="009B279E"/>
    <w:rsid w:val="009B3552"/>
    <w:rsid w:val="009B46E4"/>
    <w:rsid w:val="009C036B"/>
    <w:rsid w:val="009C3E01"/>
    <w:rsid w:val="009C4818"/>
    <w:rsid w:val="009C4B86"/>
    <w:rsid w:val="009C5C98"/>
    <w:rsid w:val="009C7391"/>
    <w:rsid w:val="009D284B"/>
    <w:rsid w:val="009E0EBE"/>
    <w:rsid w:val="009E12CD"/>
    <w:rsid w:val="009E22E7"/>
    <w:rsid w:val="009E27CB"/>
    <w:rsid w:val="009E7A55"/>
    <w:rsid w:val="009F2FA5"/>
    <w:rsid w:val="009F419E"/>
    <w:rsid w:val="00A004D9"/>
    <w:rsid w:val="00A048E7"/>
    <w:rsid w:val="00A05518"/>
    <w:rsid w:val="00A100AB"/>
    <w:rsid w:val="00A108FD"/>
    <w:rsid w:val="00A12A89"/>
    <w:rsid w:val="00A14B7A"/>
    <w:rsid w:val="00A15825"/>
    <w:rsid w:val="00A23A3B"/>
    <w:rsid w:val="00A240D5"/>
    <w:rsid w:val="00A27524"/>
    <w:rsid w:val="00A33972"/>
    <w:rsid w:val="00A3559B"/>
    <w:rsid w:val="00A363D3"/>
    <w:rsid w:val="00A37F57"/>
    <w:rsid w:val="00A45D96"/>
    <w:rsid w:val="00A45EFA"/>
    <w:rsid w:val="00A51F4B"/>
    <w:rsid w:val="00A5467E"/>
    <w:rsid w:val="00A6398A"/>
    <w:rsid w:val="00A70CAD"/>
    <w:rsid w:val="00A744D0"/>
    <w:rsid w:val="00A76265"/>
    <w:rsid w:val="00A8460B"/>
    <w:rsid w:val="00A860F1"/>
    <w:rsid w:val="00A902FA"/>
    <w:rsid w:val="00A912F7"/>
    <w:rsid w:val="00A91843"/>
    <w:rsid w:val="00A9592A"/>
    <w:rsid w:val="00AA2770"/>
    <w:rsid w:val="00AA39BC"/>
    <w:rsid w:val="00AB4439"/>
    <w:rsid w:val="00AB7253"/>
    <w:rsid w:val="00AC23D1"/>
    <w:rsid w:val="00AC2A34"/>
    <w:rsid w:val="00AC4012"/>
    <w:rsid w:val="00AC7FC9"/>
    <w:rsid w:val="00AD21CF"/>
    <w:rsid w:val="00AE6D76"/>
    <w:rsid w:val="00AE798C"/>
    <w:rsid w:val="00AF2A9A"/>
    <w:rsid w:val="00AF7F08"/>
    <w:rsid w:val="00B04071"/>
    <w:rsid w:val="00B04EFB"/>
    <w:rsid w:val="00B077AD"/>
    <w:rsid w:val="00B1193A"/>
    <w:rsid w:val="00B1193E"/>
    <w:rsid w:val="00B13AEF"/>
    <w:rsid w:val="00B16096"/>
    <w:rsid w:val="00B16B38"/>
    <w:rsid w:val="00B24C05"/>
    <w:rsid w:val="00B30C60"/>
    <w:rsid w:val="00B33084"/>
    <w:rsid w:val="00B3312F"/>
    <w:rsid w:val="00B33C88"/>
    <w:rsid w:val="00B46B7B"/>
    <w:rsid w:val="00B47281"/>
    <w:rsid w:val="00B479DA"/>
    <w:rsid w:val="00B51D7D"/>
    <w:rsid w:val="00B51E6C"/>
    <w:rsid w:val="00B60A29"/>
    <w:rsid w:val="00B622D9"/>
    <w:rsid w:val="00B63BF0"/>
    <w:rsid w:val="00B6770F"/>
    <w:rsid w:val="00B72FF7"/>
    <w:rsid w:val="00B73C5A"/>
    <w:rsid w:val="00B7557F"/>
    <w:rsid w:val="00B80CA3"/>
    <w:rsid w:val="00B81F76"/>
    <w:rsid w:val="00B84652"/>
    <w:rsid w:val="00B85349"/>
    <w:rsid w:val="00B862A5"/>
    <w:rsid w:val="00B869A4"/>
    <w:rsid w:val="00B869BF"/>
    <w:rsid w:val="00B92019"/>
    <w:rsid w:val="00B950B3"/>
    <w:rsid w:val="00B96E08"/>
    <w:rsid w:val="00BA1458"/>
    <w:rsid w:val="00BA2D15"/>
    <w:rsid w:val="00BA3A1B"/>
    <w:rsid w:val="00BA5D6F"/>
    <w:rsid w:val="00BA6C07"/>
    <w:rsid w:val="00BA72A8"/>
    <w:rsid w:val="00BB2D81"/>
    <w:rsid w:val="00BB339F"/>
    <w:rsid w:val="00BB541F"/>
    <w:rsid w:val="00BC2A74"/>
    <w:rsid w:val="00BD66A3"/>
    <w:rsid w:val="00BE04C8"/>
    <w:rsid w:val="00BE054B"/>
    <w:rsid w:val="00BE6AA9"/>
    <w:rsid w:val="00BE7EB9"/>
    <w:rsid w:val="00C03444"/>
    <w:rsid w:val="00C03929"/>
    <w:rsid w:val="00C10603"/>
    <w:rsid w:val="00C10FBD"/>
    <w:rsid w:val="00C26225"/>
    <w:rsid w:val="00C3138F"/>
    <w:rsid w:val="00C33182"/>
    <w:rsid w:val="00C34489"/>
    <w:rsid w:val="00C373D3"/>
    <w:rsid w:val="00C40361"/>
    <w:rsid w:val="00C42600"/>
    <w:rsid w:val="00C43BC0"/>
    <w:rsid w:val="00C4557D"/>
    <w:rsid w:val="00C52307"/>
    <w:rsid w:val="00C54A31"/>
    <w:rsid w:val="00C5632F"/>
    <w:rsid w:val="00C660EA"/>
    <w:rsid w:val="00C73B4E"/>
    <w:rsid w:val="00C75A1B"/>
    <w:rsid w:val="00C76EC5"/>
    <w:rsid w:val="00C812F0"/>
    <w:rsid w:val="00C849D2"/>
    <w:rsid w:val="00C85108"/>
    <w:rsid w:val="00C92BFB"/>
    <w:rsid w:val="00C941F7"/>
    <w:rsid w:val="00CA1AD3"/>
    <w:rsid w:val="00CA2534"/>
    <w:rsid w:val="00CC3E70"/>
    <w:rsid w:val="00CC538F"/>
    <w:rsid w:val="00CC5D91"/>
    <w:rsid w:val="00CC7308"/>
    <w:rsid w:val="00CD3A7B"/>
    <w:rsid w:val="00CD4B97"/>
    <w:rsid w:val="00CF0049"/>
    <w:rsid w:val="00CF5392"/>
    <w:rsid w:val="00D03348"/>
    <w:rsid w:val="00D115B3"/>
    <w:rsid w:val="00D11C7C"/>
    <w:rsid w:val="00D17C0A"/>
    <w:rsid w:val="00D2005B"/>
    <w:rsid w:val="00D22003"/>
    <w:rsid w:val="00D23110"/>
    <w:rsid w:val="00D43E5F"/>
    <w:rsid w:val="00D44170"/>
    <w:rsid w:val="00D46C59"/>
    <w:rsid w:val="00D47DAC"/>
    <w:rsid w:val="00D555B4"/>
    <w:rsid w:val="00D56AF5"/>
    <w:rsid w:val="00D6099E"/>
    <w:rsid w:val="00D63441"/>
    <w:rsid w:val="00D66556"/>
    <w:rsid w:val="00D812B0"/>
    <w:rsid w:val="00D8194C"/>
    <w:rsid w:val="00D8390A"/>
    <w:rsid w:val="00D83D89"/>
    <w:rsid w:val="00D8460B"/>
    <w:rsid w:val="00D8462B"/>
    <w:rsid w:val="00D87865"/>
    <w:rsid w:val="00D900BE"/>
    <w:rsid w:val="00D925DC"/>
    <w:rsid w:val="00D930EC"/>
    <w:rsid w:val="00D97392"/>
    <w:rsid w:val="00D9739F"/>
    <w:rsid w:val="00D97A46"/>
    <w:rsid w:val="00DA09FE"/>
    <w:rsid w:val="00DB0684"/>
    <w:rsid w:val="00DB367D"/>
    <w:rsid w:val="00DB7AA5"/>
    <w:rsid w:val="00DC1408"/>
    <w:rsid w:val="00DC6907"/>
    <w:rsid w:val="00DD1B5F"/>
    <w:rsid w:val="00DD21FC"/>
    <w:rsid w:val="00DD4474"/>
    <w:rsid w:val="00DD4F65"/>
    <w:rsid w:val="00DD5E8D"/>
    <w:rsid w:val="00DD651F"/>
    <w:rsid w:val="00DD6F3D"/>
    <w:rsid w:val="00DE0B0D"/>
    <w:rsid w:val="00DE30B9"/>
    <w:rsid w:val="00DF07CB"/>
    <w:rsid w:val="00DF3162"/>
    <w:rsid w:val="00DF39B9"/>
    <w:rsid w:val="00DF5F4F"/>
    <w:rsid w:val="00DF6CF9"/>
    <w:rsid w:val="00DF7036"/>
    <w:rsid w:val="00E00B0B"/>
    <w:rsid w:val="00E03470"/>
    <w:rsid w:val="00E0743C"/>
    <w:rsid w:val="00E10BC3"/>
    <w:rsid w:val="00E1158C"/>
    <w:rsid w:val="00E117E9"/>
    <w:rsid w:val="00E13570"/>
    <w:rsid w:val="00E13C52"/>
    <w:rsid w:val="00E16854"/>
    <w:rsid w:val="00E20521"/>
    <w:rsid w:val="00E20679"/>
    <w:rsid w:val="00E2163B"/>
    <w:rsid w:val="00E22592"/>
    <w:rsid w:val="00E23303"/>
    <w:rsid w:val="00E23BAC"/>
    <w:rsid w:val="00E25027"/>
    <w:rsid w:val="00E26AB2"/>
    <w:rsid w:val="00E26B77"/>
    <w:rsid w:val="00E27CD9"/>
    <w:rsid w:val="00E35142"/>
    <w:rsid w:val="00E40054"/>
    <w:rsid w:val="00E41BAB"/>
    <w:rsid w:val="00E4288E"/>
    <w:rsid w:val="00E42F42"/>
    <w:rsid w:val="00E44083"/>
    <w:rsid w:val="00E46242"/>
    <w:rsid w:val="00E467FC"/>
    <w:rsid w:val="00E474DB"/>
    <w:rsid w:val="00E5124B"/>
    <w:rsid w:val="00E541D5"/>
    <w:rsid w:val="00E543E1"/>
    <w:rsid w:val="00E57C9E"/>
    <w:rsid w:val="00E600B4"/>
    <w:rsid w:val="00E64FFC"/>
    <w:rsid w:val="00E725D3"/>
    <w:rsid w:val="00E8484C"/>
    <w:rsid w:val="00E8631B"/>
    <w:rsid w:val="00E91987"/>
    <w:rsid w:val="00E94C74"/>
    <w:rsid w:val="00E95559"/>
    <w:rsid w:val="00EA273E"/>
    <w:rsid w:val="00EA58BF"/>
    <w:rsid w:val="00EA77E8"/>
    <w:rsid w:val="00EA7953"/>
    <w:rsid w:val="00EB43EC"/>
    <w:rsid w:val="00EB46E4"/>
    <w:rsid w:val="00EB7016"/>
    <w:rsid w:val="00EC08FA"/>
    <w:rsid w:val="00EC3FDB"/>
    <w:rsid w:val="00ED06AE"/>
    <w:rsid w:val="00ED37B4"/>
    <w:rsid w:val="00ED486F"/>
    <w:rsid w:val="00ED4A03"/>
    <w:rsid w:val="00ED4A50"/>
    <w:rsid w:val="00ED5EC8"/>
    <w:rsid w:val="00ED73CC"/>
    <w:rsid w:val="00EE0365"/>
    <w:rsid w:val="00EE15EC"/>
    <w:rsid w:val="00EE26BC"/>
    <w:rsid w:val="00EF03F5"/>
    <w:rsid w:val="00EF4A21"/>
    <w:rsid w:val="00EF5268"/>
    <w:rsid w:val="00F074DD"/>
    <w:rsid w:val="00F07ACA"/>
    <w:rsid w:val="00F2409F"/>
    <w:rsid w:val="00F25B9C"/>
    <w:rsid w:val="00F309A0"/>
    <w:rsid w:val="00F30F85"/>
    <w:rsid w:val="00F32096"/>
    <w:rsid w:val="00F33938"/>
    <w:rsid w:val="00F33D93"/>
    <w:rsid w:val="00F35A1D"/>
    <w:rsid w:val="00F37974"/>
    <w:rsid w:val="00F45302"/>
    <w:rsid w:val="00F52387"/>
    <w:rsid w:val="00F63E18"/>
    <w:rsid w:val="00F63F74"/>
    <w:rsid w:val="00F6460D"/>
    <w:rsid w:val="00F72E7A"/>
    <w:rsid w:val="00F737B8"/>
    <w:rsid w:val="00F7458A"/>
    <w:rsid w:val="00F76300"/>
    <w:rsid w:val="00F774D1"/>
    <w:rsid w:val="00F83458"/>
    <w:rsid w:val="00F9110E"/>
    <w:rsid w:val="00F931E0"/>
    <w:rsid w:val="00FA1A78"/>
    <w:rsid w:val="00FA223A"/>
    <w:rsid w:val="00FA23AE"/>
    <w:rsid w:val="00FA5357"/>
    <w:rsid w:val="00FB5210"/>
    <w:rsid w:val="00FC3D50"/>
    <w:rsid w:val="00FC5BA7"/>
    <w:rsid w:val="00FD0006"/>
    <w:rsid w:val="00FD06BD"/>
    <w:rsid w:val="00FD246E"/>
    <w:rsid w:val="00FD5504"/>
    <w:rsid w:val="00FD5576"/>
    <w:rsid w:val="00FD77D1"/>
    <w:rsid w:val="00FE4411"/>
    <w:rsid w:val="00FE7A7C"/>
    <w:rsid w:val="00FF4DF9"/>
    <w:rsid w:val="00FF6466"/>
    <w:rsid w:val="1B2D478E"/>
    <w:rsid w:val="6A4E7C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68D25C1-58E1-41B5-84C7-59D8A200F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sdException w:name="Colorful List Accent 1" w:qFormat="1"/>
    <w:lsdException w:name="Colorful Grid Accent 1" w:qFormat="1"/>
    <w:lsdException w:name="Light Shading Accent 2"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AB2"/>
    <w:pPr>
      <w:spacing w:after="200" w:line="360" w:lineRule="auto"/>
    </w:pPr>
    <w:rPr>
      <w:rFonts w:ascii="Times New Roman" w:hAnsi="Times New Roman"/>
      <w:sz w:val="22"/>
      <w:szCs w:val="22"/>
      <w:lang w:val="it-IT"/>
    </w:rPr>
  </w:style>
  <w:style w:type="paragraph" w:styleId="Heading1">
    <w:name w:val="heading 1"/>
    <w:basedOn w:val="Normal"/>
    <w:next w:val="Normal"/>
    <w:link w:val="Heading1Char"/>
    <w:uiPriority w:val="9"/>
    <w:qFormat/>
    <w:rsid w:val="00655211"/>
    <w:pPr>
      <w:spacing w:after="120"/>
      <w:outlineLvl w:val="0"/>
    </w:pPr>
    <w:rPr>
      <w:rFonts w:ascii="Gill Sans MT" w:hAnsi="Gill Sans MT"/>
      <w:b/>
      <w:u w:val="single"/>
    </w:rPr>
  </w:style>
  <w:style w:type="paragraph" w:styleId="Heading2">
    <w:name w:val="heading 2"/>
    <w:basedOn w:val="Heading1"/>
    <w:next w:val="Normal"/>
    <w:link w:val="Heading2Char"/>
    <w:uiPriority w:val="9"/>
    <w:qFormat/>
    <w:rsid w:val="00655211"/>
    <w:pPr>
      <w:outlineLvl w:val="1"/>
    </w:pPr>
  </w:style>
  <w:style w:type="paragraph" w:styleId="Heading3">
    <w:name w:val="heading 3"/>
    <w:basedOn w:val="Normal"/>
    <w:next w:val="Normal"/>
    <w:link w:val="Heading3Char"/>
    <w:uiPriority w:val="9"/>
    <w:qFormat/>
    <w:rsid w:val="00655211"/>
    <w:pPr>
      <w:keepNext/>
      <w:spacing w:before="240" w:after="60"/>
      <w:outlineLvl w:val="2"/>
    </w:pPr>
    <w:rPr>
      <w:rFonts w:ascii="Gill Sans MT" w:eastAsia="Times New Roman" w:hAnsi="Gill Sans MT"/>
      <w:b/>
      <w:bCs/>
      <w:i/>
      <w:szCs w:val="26"/>
    </w:rPr>
  </w:style>
  <w:style w:type="paragraph" w:styleId="Heading4">
    <w:name w:val="heading 4"/>
    <w:basedOn w:val="Normal"/>
    <w:next w:val="Normal"/>
    <w:link w:val="Heading4Char"/>
    <w:uiPriority w:val="9"/>
    <w:qFormat/>
    <w:rsid w:val="00655211"/>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ddr-line">
    <w:name w:val="addr-line"/>
    <w:basedOn w:val="DefaultParagraphFont"/>
    <w:rsid w:val="00655211"/>
  </w:style>
  <w:style w:type="character" w:customStyle="1" w:styleId="Heading1Char">
    <w:name w:val="Heading 1 Char"/>
    <w:link w:val="Heading1"/>
    <w:uiPriority w:val="9"/>
    <w:rsid w:val="00655211"/>
    <w:rPr>
      <w:rFonts w:ascii="Gill Sans MT" w:hAnsi="Gill Sans MT"/>
      <w:b/>
      <w:sz w:val="22"/>
      <w:szCs w:val="22"/>
      <w:u w:val="single"/>
      <w:lang w:val="it-IT" w:eastAsia="en-US"/>
    </w:rPr>
  </w:style>
  <w:style w:type="character" w:customStyle="1" w:styleId="institution">
    <w:name w:val="institution"/>
    <w:basedOn w:val="DefaultParagraphFont"/>
    <w:rsid w:val="00655211"/>
  </w:style>
  <w:style w:type="character" w:styleId="Strong">
    <w:name w:val="Strong"/>
    <w:uiPriority w:val="22"/>
    <w:qFormat/>
    <w:rsid w:val="00655211"/>
    <w:rPr>
      <w:b/>
      <w:bCs/>
    </w:rPr>
  </w:style>
  <w:style w:type="character" w:customStyle="1" w:styleId="ref-vol">
    <w:name w:val="ref-vol"/>
    <w:rsid w:val="00655211"/>
  </w:style>
  <w:style w:type="character" w:customStyle="1" w:styleId="CommentSubjectChar">
    <w:name w:val="Comment Subject Char"/>
    <w:link w:val="CommentSubject"/>
    <w:uiPriority w:val="99"/>
    <w:semiHidden/>
    <w:rsid w:val="00655211"/>
    <w:rPr>
      <w:b/>
      <w:bCs/>
      <w:lang w:val="it-IT" w:eastAsia="en-US"/>
    </w:rPr>
  </w:style>
  <w:style w:type="character" w:styleId="CommentReference">
    <w:name w:val="annotation reference"/>
    <w:uiPriority w:val="99"/>
    <w:unhideWhenUsed/>
    <w:rsid w:val="00655211"/>
    <w:rPr>
      <w:sz w:val="16"/>
      <w:szCs w:val="16"/>
    </w:rPr>
  </w:style>
  <w:style w:type="character" w:styleId="FollowedHyperlink">
    <w:name w:val="FollowedHyperlink"/>
    <w:uiPriority w:val="99"/>
    <w:unhideWhenUsed/>
    <w:rsid w:val="00655211"/>
    <w:rPr>
      <w:color w:val="954F72"/>
      <w:u w:val="single"/>
    </w:rPr>
  </w:style>
  <w:style w:type="character" w:customStyle="1" w:styleId="ref-journal">
    <w:name w:val="ref-journal"/>
    <w:rsid w:val="00655211"/>
  </w:style>
  <w:style w:type="character" w:customStyle="1" w:styleId="CommentTextChar">
    <w:name w:val="Comment Text Char"/>
    <w:link w:val="CommentText"/>
    <w:uiPriority w:val="99"/>
    <w:semiHidden/>
    <w:rsid w:val="00655211"/>
    <w:rPr>
      <w:lang w:val="it-IT" w:eastAsia="en-US"/>
    </w:rPr>
  </w:style>
  <w:style w:type="character" w:styleId="Hyperlink">
    <w:name w:val="Hyperlink"/>
    <w:uiPriority w:val="99"/>
    <w:unhideWhenUsed/>
    <w:rsid w:val="00655211"/>
    <w:rPr>
      <w:color w:val="0563C1"/>
      <w:u w:val="single"/>
    </w:rPr>
  </w:style>
  <w:style w:type="character" w:customStyle="1" w:styleId="apple-converted-space">
    <w:name w:val="apple-converted-space"/>
    <w:basedOn w:val="DefaultParagraphFont"/>
    <w:rsid w:val="00655211"/>
  </w:style>
  <w:style w:type="character" w:customStyle="1" w:styleId="Heading4Char">
    <w:name w:val="Heading 4 Char"/>
    <w:link w:val="Heading4"/>
    <w:uiPriority w:val="9"/>
    <w:rsid w:val="00655211"/>
    <w:rPr>
      <w:rFonts w:ascii="Calibri" w:eastAsia="Times New Roman" w:hAnsi="Calibri" w:cs="Times New Roman"/>
      <w:b/>
      <w:bCs/>
      <w:sz w:val="28"/>
      <w:szCs w:val="28"/>
      <w:lang w:val="it-IT" w:eastAsia="en-US"/>
    </w:rPr>
  </w:style>
  <w:style w:type="character" w:customStyle="1" w:styleId="HeaderChar">
    <w:name w:val="Header Char"/>
    <w:link w:val="Header"/>
    <w:uiPriority w:val="99"/>
    <w:rsid w:val="00655211"/>
    <w:rPr>
      <w:sz w:val="22"/>
      <w:szCs w:val="22"/>
      <w:lang w:val="it-IT" w:eastAsia="en-US"/>
    </w:rPr>
  </w:style>
  <w:style w:type="character" w:customStyle="1" w:styleId="Heading2Char">
    <w:name w:val="Heading 2 Char"/>
    <w:link w:val="Heading2"/>
    <w:uiPriority w:val="9"/>
    <w:rsid w:val="00655211"/>
    <w:rPr>
      <w:rFonts w:ascii="Gill Sans MT" w:hAnsi="Gill Sans MT"/>
      <w:b/>
      <w:sz w:val="22"/>
      <w:szCs w:val="22"/>
      <w:u w:val="single"/>
      <w:lang w:val="it-IT" w:eastAsia="en-US"/>
    </w:rPr>
  </w:style>
  <w:style w:type="character" w:customStyle="1" w:styleId="BalloonTextChar">
    <w:name w:val="Balloon Text Char"/>
    <w:link w:val="BalloonText"/>
    <w:uiPriority w:val="99"/>
    <w:semiHidden/>
    <w:rsid w:val="00655211"/>
    <w:rPr>
      <w:rFonts w:ascii="Segoe UI" w:hAnsi="Segoe UI" w:cs="Segoe UI"/>
      <w:sz w:val="18"/>
      <w:szCs w:val="18"/>
      <w:lang w:val="it-IT" w:eastAsia="en-US"/>
    </w:rPr>
  </w:style>
  <w:style w:type="character" w:customStyle="1" w:styleId="highlight">
    <w:name w:val="highlight"/>
    <w:basedOn w:val="DefaultParagraphFont"/>
    <w:rsid w:val="00655211"/>
  </w:style>
  <w:style w:type="character" w:customStyle="1" w:styleId="Heading3Char">
    <w:name w:val="Heading 3 Char"/>
    <w:link w:val="Heading3"/>
    <w:uiPriority w:val="9"/>
    <w:rsid w:val="00655211"/>
    <w:rPr>
      <w:rFonts w:ascii="Gill Sans MT" w:eastAsia="Times New Roman" w:hAnsi="Gill Sans MT"/>
      <w:b/>
      <w:bCs/>
      <w:i/>
      <w:sz w:val="22"/>
      <w:szCs w:val="26"/>
      <w:lang w:eastAsia="en-US"/>
    </w:rPr>
  </w:style>
  <w:style w:type="character" w:customStyle="1" w:styleId="FooterChar">
    <w:name w:val="Footer Char"/>
    <w:link w:val="Footer"/>
    <w:uiPriority w:val="99"/>
    <w:rsid w:val="00655211"/>
    <w:rPr>
      <w:sz w:val="22"/>
      <w:szCs w:val="22"/>
      <w:lang w:val="it-IT" w:eastAsia="en-US"/>
    </w:rPr>
  </w:style>
  <w:style w:type="character" w:customStyle="1" w:styleId="SubtitleChar">
    <w:name w:val="Subtitle Char"/>
    <w:link w:val="Subtitle"/>
    <w:uiPriority w:val="11"/>
    <w:rsid w:val="00655211"/>
    <w:rPr>
      <w:rFonts w:ascii="Gill Sans MT" w:eastAsia="Times New Roman" w:hAnsi="Gill Sans MT" w:cs="Times New Roman"/>
      <w:sz w:val="24"/>
      <w:szCs w:val="24"/>
      <w:lang w:val="en-US" w:eastAsia="en-US"/>
    </w:rPr>
  </w:style>
  <w:style w:type="character" w:customStyle="1" w:styleId="HTMLAddressChar">
    <w:name w:val="HTML Address Char"/>
    <w:link w:val="HTMLAddress"/>
    <w:uiPriority w:val="99"/>
    <w:semiHidden/>
    <w:rsid w:val="00655211"/>
    <w:rPr>
      <w:rFonts w:ascii="Times New Roman" w:eastAsia="Times New Roman" w:hAnsi="Times New Roman"/>
      <w:i/>
      <w:iCs/>
      <w:sz w:val="24"/>
      <w:szCs w:val="24"/>
    </w:rPr>
  </w:style>
  <w:style w:type="paragraph" w:styleId="BalloonText">
    <w:name w:val="Balloon Text"/>
    <w:basedOn w:val="Normal"/>
    <w:link w:val="BalloonTextChar"/>
    <w:uiPriority w:val="99"/>
    <w:unhideWhenUsed/>
    <w:rsid w:val="00655211"/>
    <w:pPr>
      <w:spacing w:after="0" w:line="240" w:lineRule="auto"/>
    </w:pPr>
    <w:rPr>
      <w:rFonts w:ascii="Segoe UI" w:hAnsi="Segoe UI"/>
      <w:sz w:val="18"/>
      <w:szCs w:val="18"/>
    </w:rPr>
  </w:style>
  <w:style w:type="paragraph" w:styleId="HTMLAddress">
    <w:name w:val="HTML Address"/>
    <w:basedOn w:val="Normal"/>
    <w:link w:val="HTMLAddressChar"/>
    <w:uiPriority w:val="99"/>
    <w:unhideWhenUsed/>
    <w:rsid w:val="00655211"/>
    <w:pPr>
      <w:spacing w:after="0" w:line="240" w:lineRule="auto"/>
    </w:pPr>
    <w:rPr>
      <w:rFonts w:eastAsia="Times New Roman"/>
      <w:i/>
      <w:iCs/>
      <w:sz w:val="24"/>
      <w:szCs w:val="24"/>
    </w:rPr>
  </w:style>
  <w:style w:type="paragraph" w:styleId="CommentText">
    <w:name w:val="annotation text"/>
    <w:basedOn w:val="Normal"/>
    <w:link w:val="CommentTextChar"/>
    <w:uiPriority w:val="99"/>
    <w:unhideWhenUsed/>
    <w:rsid w:val="00655211"/>
    <w:rPr>
      <w:rFonts w:ascii="Calibri" w:hAnsi="Calibri"/>
      <w:sz w:val="20"/>
      <w:szCs w:val="20"/>
    </w:rPr>
  </w:style>
  <w:style w:type="paragraph" w:customStyle="1" w:styleId="1-21">
    <w:name w:val="中等深浅网格 1 - 强调文字颜色 21"/>
    <w:basedOn w:val="Normal"/>
    <w:uiPriority w:val="34"/>
    <w:qFormat/>
    <w:rsid w:val="00655211"/>
    <w:pPr>
      <w:ind w:left="720"/>
      <w:contextualSpacing/>
    </w:pPr>
  </w:style>
  <w:style w:type="paragraph" w:styleId="NormalWeb">
    <w:name w:val="Normal (Web)"/>
    <w:basedOn w:val="Normal"/>
    <w:uiPriority w:val="99"/>
    <w:unhideWhenUsed/>
    <w:rsid w:val="00655211"/>
    <w:pPr>
      <w:spacing w:before="100" w:beforeAutospacing="1" w:after="100" w:afterAutospacing="1" w:line="240" w:lineRule="auto"/>
    </w:pPr>
    <w:rPr>
      <w:rFonts w:ascii="Times" w:eastAsia="MS Mincho" w:hAnsi="Times"/>
      <w:sz w:val="20"/>
      <w:szCs w:val="20"/>
      <w:lang w:val="en-AU"/>
    </w:rPr>
  </w:style>
  <w:style w:type="paragraph" w:styleId="CommentSubject">
    <w:name w:val="annotation subject"/>
    <w:basedOn w:val="CommentText"/>
    <w:next w:val="CommentText"/>
    <w:link w:val="CommentSubjectChar"/>
    <w:uiPriority w:val="99"/>
    <w:unhideWhenUsed/>
    <w:rsid w:val="00655211"/>
    <w:rPr>
      <w:b/>
      <w:bCs/>
    </w:rPr>
  </w:style>
  <w:style w:type="paragraph" w:customStyle="1" w:styleId="-11">
    <w:name w:val="彩色底纹 - 强调文字颜色 11"/>
    <w:uiPriority w:val="99"/>
    <w:semiHidden/>
    <w:rsid w:val="00655211"/>
    <w:rPr>
      <w:sz w:val="22"/>
      <w:szCs w:val="22"/>
      <w:lang w:val="it-IT"/>
    </w:rPr>
  </w:style>
  <w:style w:type="paragraph" w:styleId="Footer">
    <w:name w:val="footer"/>
    <w:basedOn w:val="Normal"/>
    <w:link w:val="FooterChar"/>
    <w:uiPriority w:val="99"/>
    <w:unhideWhenUsed/>
    <w:rsid w:val="00655211"/>
    <w:pPr>
      <w:tabs>
        <w:tab w:val="center" w:pos="4536"/>
        <w:tab w:val="right" w:pos="9072"/>
      </w:tabs>
    </w:pPr>
    <w:rPr>
      <w:rFonts w:ascii="Calibri" w:hAnsi="Calibri"/>
    </w:rPr>
  </w:style>
  <w:style w:type="paragraph" w:customStyle="1" w:styleId="Sfondoacolori-Colore11">
    <w:name w:val="Sfondo a colori - Colore 11"/>
    <w:uiPriority w:val="99"/>
    <w:semiHidden/>
    <w:rsid w:val="00655211"/>
    <w:rPr>
      <w:rFonts w:ascii="Gill Sans MT" w:hAnsi="Gill Sans MT"/>
      <w:sz w:val="22"/>
      <w:szCs w:val="22"/>
      <w:lang w:val="it-IT"/>
    </w:rPr>
  </w:style>
  <w:style w:type="paragraph" w:styleId="Header">
    <w:name w:val="header"/>
    <w:basedOn w:val="Normal"/>
    <w:link w:val="HeaderChar"/>
    <w:uiPriority w:val="99"/>
    <w:unhideWhenUsed/>
    <w:rsid w:val="00655211"/>
    <w:pPr>
      <w:tabs>
        <w:tab w:val="center" w:pos="4536"/>
        <w:tab w:val="right" w:pos="9072"/>
      </w:tabs>
    </w:pPr>
    <w:rPr>
      <w:rFonts w:ascii="Calibri" w:hAnsi="Calibri"/>
    </w:rPr>
  </w:style>
  <w:style w:type="paragraph" w:customStyle="1" w:styleId="-110">
    <w:name w:val="彩色列表 - 强调文字颜色 11"/>
    <w:basedOn w:val="Normal"/>
    <w:uiPriority w:val="34"/>
    <w:qFormat/>
    <w:rsid w:val="00655211"/>
    <w:pPr>
      <w:spacing w:line="276" w:lineRule="auto"/>
      <w:ind w:left="720"/>
      <w:contextualSpacing/>
    </w:pPr>
    <w:rPr>
      <w:rFonts w:ascii="Calibri" w:eastAsia="Calibri" w:hAnsi="Calibri"/>
    </w:rPr>
  </w:style>
  <w:style w:type="paragraph" w:styleId="Subtitle">
    <w:name w:val="Subtitle"/>
    <w:basedOn w:val="Normal"/>
    <w:next w:val="Normal"/>
    <w:link w:val="SubtitleChar"/>
    <w:uiPriority w:val="11"/>
    <w:qFormat/>
    <w:rsid w:val="00655211"/>
    <w:pPr>
      <w:spacing w:after="60"/>
      <w:jc w:val="center"/>
      <w:outlineLvl w:val="1"/>
    </w:pPr>
    <w:rPr>
      <w:rFonts w:ascii="Gill Sans MT" w:eastAsia="Times New Roman" w:hAnsi="Gill Sans MT"/>
      <w:sz w:val="24"/>
      <w:szCs w:val="24"/>
      <w:lang w:val="en-US"/>
    </w:rPr>
  </w:style>
  <w:style w:type="paragraph" w:customStyle="1" w:styleId="TableauGrille21">
    <w:name w:val="Tableau Grille 21"/>
    <w:basedOn w:val="Normal"/>
    <w:next w:val="Normal"/>
    <w:uiPriority w:val="37"/>
    <w:unhideWhenUsed/>
    <w:rsid w:val="00655211"/>
    <w:pPr>
      <w:tabs>
        <w:tab w:val="left" w:pos="384"/>
      </w:tabs>
      <w:spacing w:after="240" w:line="240" w:lineRule="auto"/>
      <w:ind w:left="384" w:hanging="384"/>
    </w:pPr>
  </w:style>
  <w:style w:type="table" w:styleId="TableGrid">
    <w:name w:val="Table Grid"/>
    <w:basedOn w:val="TableNormal"/>
    <w:uiPriority w:val="59"/>
    <w:rsid w:val="00655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BC6"/>
    <w:pPr>
      <w:spacing w:line="276" w:lineRule="auto"/>
      <w:ind w:left="720"/>
      <w:contextualSpacing/>
    </w:pPr>
    <w:rPr>
      <w:rFonts w:ascii="Calibri" w:eastAsia="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4072706">
      <w:bodyDiv w:val="1"/>
      <w:marLeft w:val="0"/>
      <w:marRight w:val="0"/>
      <w:marTop w:val="0"/>
      <w:marBottom w:val="0"/>
      <w:divBdr>
        <w:top w:val="none" w:sz="0" w:space="0" w:color="auto"/>
        <w:left w:val="none" w:sz="0" w:space="0" w:color="auto"/>
        <w:bottom w:val="none" w:sz="0" w:space="0" w:color="auto"/>
        <w:right w:val="none" w:sz="0" w:space="0" w:color="auto"/>
      </w:divBdr>
    </w:div>
    <w:div w:id="823351702">
      <w:bodyDiv w:val="1"/>
      <w:marLeft w:val="0"/>
      <w:marRight w:val="0"/>
      <w:marTop w:val="0"/>
      <w:marBottom w:val="0"/>
      <w:divBdr>
        <w:top w:val="none" w:sz="0" w:space="0" w:color="auto"/>
        <w:left w:val="none" w:sz="0" w:space="0" w:color="auto"/>
        <w:bottom w:val="none" w:sz="0" w:space="0" w:color="auto"/>
        <w:right w:val="none" w:sz="0" w:space="0" w:color="auto"/>
      </w:divBdr>
    </w:div>
    <w:div w:id="1538663371">
      <w:bodyDiv w:val="1"/>
      <w:marLeft w:val="0"/>
      <w:marRight w:val="0"/>
      <w:marTop w:val="0"/>
      <w:marBottom w:val="0"/>
      <w:divBdr>
        <w:top w:val="none" w:sz="0" w:space="0" w:color="auto"/>
        <w:left w:val="none" w:sz="0" w:space="0" w:color="auto"/>
        <w:bottom w:val="none" w:sz="0" w:space="0" w:color="auto"/>
        <w:right w:val="none" w:sz="0" w:space="0" w:color="auto"/>
      </w:divBdr>
      <w:divsChild>
        <w:div w:id="582642066">
          <w:marLeft w:val="0"/>
          <w:marRight w:val="0"/>
          <w:marTop w:val="0"/>
          <w:marBottom w:val="0"/>
          <w:divBdr>
            <w:top w:val="none" w:sz="0" w:space="0" w:color="auto"/>
            <w:left w:val="none" w:sz="0" w:space="0" w:color="auto"/>
            <w:bottom w:val="none" w:sz="0" w:space="0" w:color="auto"/>
            <w:right w:val="none" w:sz="0" w:space="0" w:color="auto"/>
          </w:divBdr>
          <w:divsChild>
            <w:div w:id="1384720053">
              <w:marLeft w:val="0"/>
              <w:marRight w:val="0"/>
              <w:marTop w:val="0"/>
              <w:marBottom w:val="0"/>
              <w:divBdr>
                <w:top w:val="none" w:sz="0" w:space="0" w:color="auto"/>
                <w:left w:val="none" w:sz="0" w:space="0" w:color="auto"/>
                <w:bottom w:val="none" w:sz="0" w:space="0" w:color="auto"/>
                <w:right w:val="none" w:sz="0" w:space="0" w:color="auto"/>
              </w:divBdr>
              <w:divsChild>
                <w:div w:id="175078738">
                  <w:marLeft w:val="0"/>
                  <w:marRight w:val="0"/>
                  <w:marTop w:val="0"/>
                  <w:marBottom w:val="0"/>
                  <w:divBdr>
                    <w:top w:val="none" w:sz="0" w:space="0" w:color="auto"/>
                    <w:left w:val="none" w:sz="0" w:space="0" w:color="auto"/>
                    <w:bottom w:val="none" w:sz="0" w:space="0" w:color="auto"/>
                    <w:right w:val="none" w:sz="0" w:space="0" w:color="auto"/>
                  </w:divBdr>
                  <w:divsChild>
                    <w:div w:id="965620953">
                      <w:marLeft w:val="0"/>
                      <w:marRight w:val="0"/>
                      <w:marTop w:val="0"/>
                      <w:marBottom w:val="0"/>
                      <w:divBdr>
                        <w:top w:val="none" w:sz="0" w:space="0" w:color="auto"/>
                        <w:left w:val="none" w:sz="0" w:space="0" w:color="auto"/>
                        <w:bottom w:val="none" w:sz="0" w:space="0" w:color="auto"/>
                        <w:right w:val="none" w:sz="0" w:space="0" w:color="auto"/>
                      </w:divBdr>
                      <w:divsChild>
                        <w:div w:id="1344554888">
                          <w:marLeft w:val="0"/>
                          <w:marRight w:val="0"/>
                          <w:marTop w:val="0"/>
                          <w:marBottom w:val="0"/>
                          <w:divBdr>
                            <w:top w:val="none" w:sz="0" w:space="0" w:color="auto"/>
                            <w:left w:val="none" w:sz="0" w:space="0" w:color="auto"/>
                            <w:bottom w:val="none" w:sz="0" w:space="0" w:color="auto"/>
                            <w:right w:val="none" w:sz="0" w:space="0" w:color="auto"/>
                          </w:divBdr>
                          <w:divsChild>
                            <w:div w:id="1275359620">
                              <w:marLeft w:val="0"/>
                              <w:marRight w:val="0"/>
                              <w:marTop w:val="0"/>
                              <w:marBottom w:val="0"/>
                              <w:divBdr>
                                <w:top w:val="none" w:sz="0" w:space="0" w:color="auto"/>
                                <w:left w:val="none" w:sz="0" w:space="0" w:color="auto"/>
                                <w:bottom w:val="none" w:sz="0" w:space="0" w:color="auto"/>
                                <w:right w:val="none" w:sz="0" w:space="0" w:color="auto"/>
                              </w:divBdr>
                              <w:divsChild>
                                <w:div w:id="1653869381">
                                  <w:marLeft w:val="0"/>
                                  <w:marRight w:val="0"/>
                                  <w:marTop w:val="0"/>
                                  <w:marBottom w:val="0"/>
                                  <w:divBdr>
                                    <w:top w:val="none" w:sz="0" w:space="0" w:color="auto"/>
                                    <w:left w:val="none" w:sz="0" w:space="0" w:color="auto"/>
                                    <w:bottom w:val="none" w:sz="0" w:space="0" w:color="auto"/>
                                    <w:right w:val="none" w:sz="0" w:space="0" w:color="auto"/>
                                  </w:divBdr>
                                  <w:divsChild>
                                    <w:div w:id="144512563">
                                      <w:marLeft w:val="0"/>
                                      <w:marRight w:val="0"/>
                                      <w:marTop w:val="0"/>
                                      <w:marBottom w:val="0"/>
                                      <w:divBdr>
                                        <w:top w:val="none" w:sz="0" w:space="0" w:color="auto"/>
                                        <w:left w:val="none" w:sz="0" w:space="0" w:color="auto"/>
                                        <w:bottom w:val="none" w:sz="0" w:space="0" w:color="auto"/>
                                        <w:right w:val="none" w:sz="0" w:space="0" w:color="auto"/>
                                      </w:divBdr>
                                    </w:div>
                                    <w:div w:id="2048068485">
                                      <w:marLeft w:val="0"/>
                                      <w:marRight w:val="0"/>
                                      <w:marTop w:val="0"/>
                                      <w:marBottom w:val="0"/>
                                      <w:divBdr>
                                        <w:top w:val="none" w:sz="0" w:space="0" w:color="auto"/>
                                        <w:left w:val="none" w:sz="0" w:space="0" w:color="auto"/>
                                        <w:bottom w:val="none" w:sz="0" w:space="0" w:color="auto"/>
                                        <w:right w:val="none" w:sz="0" w:space="0" w:color="auto"/>
                                      </w:divBdr>
                                      <w:divsChild>
                                        <w:div w:id="904994423">
                                          <w:marLeft w:val="0"/>
                                          <w:marRight w:val="0"/>
                                          <w:marTop w:val="0"/>
                                          <w:marBottom w:val="0"/>
                                          <w:divBdr>
                                            <w:top w:val="none" w:sz="0" w:space="0" w:color="auto"/>
                                            <w:left w:val="none" w:sz="0" w:space="0" w:color="auto"/>
                                            <w:bottom w:val="none" w:sz="0" w:space="0" w:color="auto"/>
                                            <w:right w:val="none" w:sz="0" w:space="0" w:color="auto"/>
                                          </w:divBdr>
                                          <w:divsChild>
                                            <w:div w:id="1626739486">
                                              <w:marLeft w:val="0"/>
                                              <w:marRight w:val="0"/>
                                              <w:marTop w:val="0"/>
                                              <w:marBottom w:val="0"/>
                                              <w:divBdr>
                                                <w:top w:val="none" w:sz="0" w:space="0" w:color="auto"/>
                                                <w:left w:val="none" w:sz="0" w:space="0" w:color="auto"/>
                                                <w:bottom w:val="none" w:sz="0" w:space="0" w:color="auto"/>
                                                <w:right w:val="none" w:sz="0" w:space="0" w:color="auto"/>
                                              </w:divBdr>
                                              <w:divsChild>
                                                <w:div w:id="1703703092">
                                                  <w:marLeft w:val="0"/>
                                                  <w:marRight w:val="0"/>
                                                  <w:marTop w:val="0"/>
                                                  <w:marBottom w:val="0"/>
                                                  <w:divBdr>
                                                    <w:top w:val="none" w:sz="0" w:space="0" w:color="auto"/>
                                                    <w:left w:val="none" w:sz="0" w:space="0" w:color="auto"/>
                                                    <w:bottom w:val="none" w:sz="0" w:space="0" w:color="auto"/>
                                                    <w:right w:val="none" w:sz="0" w:space="0" w:color="auto"/>
                                                  </w:divBdr>
                                                  <w:divsChild>
                                                    <w:div w:id="1634479567">
                                                      <w:marLeft w:val="0"/>
                                                      <w:marRight w:val="0"/>
                                                      <w:marTop w:val="0"/>
                                                      <w:marBottom w:val="0"/>
                                                      <w:divBdr>
                                                        <w:top w:val="none" w:sz="0" w:space="0" w:color="auto"/>
                                                        <w:left w:val="none" w:sz="0" w:space="0" w:color="auto"/>
                                                        <w:bottom w:val="none" w:sz="0" w:space="0" w:color="auto"/>
                                                        <w:right w:val="none" w:sz="0" w:space="0" w:color="auto"/>
                                                      </w:divBdr>
                                                      <w:divsChild>
                                                        <w:div w:id="1963028511">
                                                          <w:marLeft w:val="0"/>
                                                          <w:marRight w:val="0"/>
                                                          <w:marTop w:val="0"/>
                                                          <w:marBottom w:val="0"/>
                                                          <w:divBdr>
                                                            <w:top w:val="none" w:sz="0" w:space="0" w:color="auto"/>
                                                            <w:left w:val="none" w:sz="0" w:space="0" w:color="auto"/>
                                                            <w:bottom w:val="none" w:sz="0" w:space="0" w:color="auto"/>
                                                            <w:right w:val="none" w:sz="0" w:space="0" w:color="auto"/>
                                                          </w:divBdr>
                                                          <w:divsChild>
                                                            <w:div w:id="573517239">
                                                              <w:marLeft w:val="0"/>
                                                              <w:marRight w:val="0"/>
                                                              <w:marTop w:val="0"/>
                                                              <w:marBottom w:val="0"/>
                                                              <w:divBdr>
                                                                <w:top w:val="none" w:sz="0" w:space="0" w:color="auto"/>
                                                                <w:left w:val="none" w:sz="0" w:space="0" w:color="auto"/>
                                                                <w:bottom w:val="none" w:sz="0" w:space="0" w:color="auto"/>
                                                                <w:right w:val="none" w:sz="0" w:space="0" w:color="auto"/>
                                                              </w:divBdr>
                                                              <w:divsChild>
                                                                <w:div w:id="1769302881">
                                                                  <w:marLeft w:val="0"/>
                                                                  <w:marRight w:val="0"/>
                                                                  <w:marTop w:val="0"/>
                                                                  <w:marBottom w:val="0"/>
                                                                  <w:divBdr>
                                                                    <w:top w:val="none" w:sz="0" w:space="0" w:color="auto"/>
                                                                    <w:left w:val="none" w:sz="0" w:space="0" w:color="auto"/>
                                                                    <w:bottom w:val="none" w:sz="0" w:space="0" w:color="auto"/>
                                                                    <w:right w:val="none" w:sz="0" w:space="0" w:color="auto"/>
                                                                  </w:divBdr>
                                                                  <w:divsChild>
                                                                    <w:div w:id="1621492109">
                                                                      <w:marLeft w:val="0"/>
                                                                      <w:marRight w:val="0"/>
                                                                      <w:marTop w:val="0"/>
                                                                      <w:marBottom w:val="0"/>
                                                                      <w:divBdr>
                                                                        <w:top w:val="none" w:sz="0" w:space="0" w:color="auto"/>
                                                                        <w:left w:val="none" w:sz="0" w:space="0" w:color="auto"/>
                                                                        <w:bottom w:val="none" w:sz="0" w:space="0" w:color="auto"/>
                                                                        <w:right w:val="none" w:sz="0" w:space="0" w:color="auto"/>
                                                                      </w:divBdr>
                                                                      <w:divsChild>
                                                                        <w:div w:id="491725875">
                                                                          <w:marLeft w:val="0"/>
                                                                          <w:marRight w:val="0"/>
                                                                          <w:marTop w:val="0"/>
                                                                          <w:marBottom w:val="0"/>
                                                                          <w:divBdr>
                                                                            <w:top w:val="none" w:sz="0" w:space="0" w:color="auto"/>
                                                                            <w:left w:val="none" w:sz="0" w:space="0" w:color="auto"/>
                                                                            <w:bottom w:val="none" w:sz="0" w:space="0" w:color="auto"/>
                                                                            <w:right w:val="none" w:sz="0" w:space="0" w:color="auto"/>
                                                                          </w:divBdr>
                                                                          <w:divsChild>
                                                                            <w:div w:id="529993521">
                                                                              <w:marLeft w:val="0"/>
                                                                              <w:marRight w:val="0"/>
                                                                              <w:marTop w:val="0"/>
                                                                              <w:marBottom w:val="0"/>
                                                                              <w:divBdr>
                                                                                <w:top w:val="none" w:sz="0" w:space="0" w:color="auto"/>
                                                                                <w:left w:val="none" w:sz="0" w:space="0" w:color="auto"/>
                                                                                <w:bottom w:val="none" w:sz="0" w:space="0" w:color="auto"/>
                                                                                <w:right w:val="none" w:sz="0" w:space="0" w:color="auto"/>
                                                                              </w:divBdr>
                                                                              <w:divsChild>
                                                                                <w:div w:id="1691688596">
                                                                                  <w:marLeft w:val="0"/>
                                                                                  <w:marRight w:val="0"/>
                                                                                  <w:marTop w:val="0"/>
                                                                                  <w:marBottom w:val="0"/>
                                                                                  <w:divBdr>
                                                                                    <w:top w:val="none" w:sz="0" w:space="0" w:color="auto"/>
                                                                                    <w:left w:val="none" w:sz="0" w:space="0" w:color="auto"/>
                                                                                    <w:bottom w:val="none" w:sz="0" w:space="0" w:color="auto"/>
                                                                                    <w:right w:val="none" w:sz="0" w:space="0" w:color="auto"/>
                                                                                  </w:divBdr>
                                                                                  <w:divsChild>
                                                                                    <w:div w:id="329526522">
                                                                                      <w:marLeft w:val="0"/>
                                                                                      <w:marRight w:val="0"/>
                                                                                      <w:marTop w:val="0"/>
                                                                                      <w:marBottom w:val="0"/>
                                                                                      <w:divBdr>
                                                                                        <w:top w:val="none" w:sz="0" w:space="0" w:color="auto"/>
                                                                                        <w:left w:val="none" w:sz="0" w:space="0" w:color="auto"/>
                                                                                        <w:bottom w:val="none" w:sz="0" w:space="0" w:color="auto"/>
                                                                                        <w:right w:val="none" w:sz="0" w:space="0" w:color="auto"/>
                                                                                      </w:divBdr>
                                                                                      <w:divsChild>
                                                                                        <w:div w:id="1154417654">
                                                                                          <w:marLeft w:val="0"/>
                                                                                          <w:marRight w:val="0"/>
                                                                                          <w:marTop w:val="0"/>
                                                                                          <w:marBottom w:val="0"/>
                                                                                          <w:divBdr>
                                                                                            <w:top w:val="none" w:sz="0" w:space="0" w:color="auto"/>
                                                                                            <w:left w:val="none" w:sz="0" w:space="0" w:color="auto"/>
                                                                                            <w:bottom w:val="none" w:sz="0" w:space="0" w:color="auto"/>
                                                                                            <w:right w:val="none" w:sz="0" w:space="0" w:color="auto"/>
                                                                                          </w:divBdr>
                                                                                          <w:divsChild>
                                                                                            <w:div w:id="457379637">
                                                                                              <w:marLeft w:val="0"/>
                                                                                              <w:marRight w:val="0"/>
                                                                                              <w:marTop w:val="0"/>
                                                                                              <w:marBottom w:val="0"/>
                                                                                              <w:divBdr>
                                                                                                <w:top w:val="none" w:sz="0" w:space="0" w:color="auto"/>
                                                                                                <w:left w:val="none" w:sz="0" w:space="0" w:color="auto"/>
                                                                                                <w:bottom w:val="none" w:sz="0" w:space="0" w:color="auto"/>
                                                                                                <w:right w:val="none" w:sz="0" w:space="0" w:color="auto"/>
                                                                                              </w:divBdr>
                                                                                              <w:divsChild>
                                                                                                <w:div w:id="1355811287">
                                                                                                  <w:marLeft w:val="0"/>
                                                                                                  <w:marRight w:val="0"/>
                                                                                                  <w:marTop w:val="0"/>
                                                                                                  <w:marBottom w:val="0"/>
                                                                                                  <w:divBdr>
                                                                                                    <w:top w:val="none" w:sz="0" w:space="0" w:color="auto"/>
                                                                                                    <w:left w:val="none" w:sz="0" w:space="0" w:color="auto"/>
                                                                                                    <w:bottom w:val="none" w:sz="0" w:space="0" w:color="auto"/>
                                                                                                    <w:right w:val="none" w:sz="0" w:space="0" w:color="auto"/>
                                                                                                  </w:divBdr>
                                                                                                  <w:divsChild>
                                                                                                    <w:div w:id="100076548">
                                                                                                      <w:marLeft w:val="0"/>
                                                                                                      <w:marRight w:val="0"/>
                                                                                                      <w:marTop w:val="0"/>
                                                                                                      <w:marBottom w:val="0"/>
                                                                                                      <w:divBdr>
                                                                                                        <w:top w:val="none" w:sz="0" w:space="0" w:color="auto"/>
                                                                                                        <w:left w:val="none" w:sz="0" w:space="0" w:color="auto"/>
                                                                                                        <w:bottom w:val="none" w:sz="0" w:space="0" w:color="auto"/>
                                                                                                        <w:right w:val="none" w:sz="0" w:space="0" w:color="auto"/>
                                                                                                      </w:divBdr>
                                                                                                      <w:divsChild>
                                                                                                        <w:div w:id="2041323863">
                                                                                                          <w:marLeft w:val="0"/>
                                                                                                          <w:marRight w:val="0"/>
                                                                                                          <w:marTop w:val="0"/>
                                                                                                          <w:marBottom w:val="0"/>
                                                                                                          <w:divBdr>
                                                                                                            <w:top w:val="none" w:sz="0" w:space="0" w:color="auto"/>
                                                                                                            <w:left w:val="none" w:sz="0" w:space="0" w:color="auto"/>
                                                                                                            <w:bottom w:val="none" w:sz="0" w:space="0" w:color="auto"/>
                                                                                                            <w:right w:val="none" w:sz="0" w:space="0" w:color="auto"/>
                                                                                                          </w:divBdr>
                                                                                                          <w:divsChild>
                                                                                                            <w:div w:id="1634675423">
                                                                                                              <w:marLeft w:val="0"/>
                                                                                                              <w:marRight w:val="0"/>
                                                                                                              <w:marTop w:val="0"/>
                                                                                                              <w:marBottom w:val="0"/>
                                                                                                              <w:divBdr>
                                                                                                                <w:top w:val="none" w:sz="0" w:space="0" w:color="auto"/>
                                                                                                                <w:left w:val="none" w:sz="0" w:space="0" w:color="auto"/>
                                                                                                                <w:bottom w:val="none" w:sz="0" w:space="0" w:color="auto"/>
                                                                                                                <w:right w:val="none" w:sz="0" w:space="0" w:color="auto"/>
                                                                                                              </w:divBdr>
                                                                                                              <w:divsChild>
                                                                                                                <w:div w:id="1343632427">
                                                                                                                  <w:marLeft w:val="0"/>
                                                                                                                  <w:marRight w:val="0"/>
                                                                                                                  <w:marTop w:val="0"/>
                                                                                                                  <w:marBottom w:val="0"/>
                                                                                                                  <w:divBdr>
                                                                                                                    <w:top w:val="none" w:sz="0" w:space="0" w:color="auto"/>
                                                                                                                    <w:left w:val="none" w:sz="0" w:space="0" w:color="auto"/>
                                                                                                                    <w:bottom w:val="none" w:sz="0" w:space="0" w:color="auto"/>
                                                                                                                    <w:right w:val="none" w:sz="0" w:space="0" w:color="auto"/>
                                                                                                                  </w:divBdr>
                                                                                                                  <w:divsChild>
                                                                                                                    <w:div w:id="160897954">
                                                                                                                      <w:marLeft w:val="0"/>
                                                                                                                      <w:marRight w:val="0"/>
                                                                                                                      <w:marTop w:val="0"/>
                                                                                                                      <w:marBottom w:val="0"/>
                                                                                                                      <w:divBdr>
                                                                                                                        <w:top w:val="none" w:sz="0" w:space="0" w:color="auto"/>
                                                                                                                        <w:left w:val="none" w:sz="0" w:space="0" w:color="auto"/>
                                                                                                                        <w:bottom w:val="none" w:sz="0" w:space="0" w:color="auto"/>
                                                                                                                        <w:right w:val="none" w:sz="0" w:space="0" w:color="auto"/>
                                                                                                                      </w:divBdr>
                                                                                                                      <w:divsChild>
                                                                                                                        <w:div w:id="150172689">
                                                                                                                          <w:marLeft w:val="0"/>
                                                                                                                          <w:marRight w:val="0"/>
                                                                                                                          <w:marTop w:val="0"/>
                                                                                                                          <w:marBottom w:val="0"/>
                                                                                                                          <w:divBdr>
                                                                                                                            <w:top w:val="none" w:sz="0" w:space="0" w:color="auto"/>
                                                                                                                            <w:left w:val="none" w:sz="0" w:space="0" w:color="auto"/>
                                                                                                                            <w:bottom w:val="none" w:sz="0" w:space="0" w:color="auto"/>
                                                                                                                            <w:right w:val="none" w:sz="0" w:space="0" w:color="auto"/>
                                                                                                                          </w:divBdr>
                                                                                                                          <w:divsChild>
                                                                                                                            <w:div w:id="1400322744">
                                                                                                                              <w:marLeft w:val="0"/>
                                                                                                                              <w:marRight w:val="0"/>
                                                                                                                              <w:marTop w:val="0"/>
                                                                                                                              <w:marBottom w:val="0"/>
                                                                                                                              <w:divBdr>
                                                                                                                                <w:top w:val="none" w:sz="0" w:space="0" w:color="auto"/>
                                                                                                                                <w:left w:val="none" w:sz="0" w:space="0" w:color="auto"/>
                                                                                                                                <w:bottom w:val="none" w:sz="0" w:space="0" w:color="auto"/>
                                                                                                                                <w:right w:val="none" w:sz="0" w:space="0" w:color="auto"/>
                                                                                                                              </w:divBdr>
                                                                                                                              <w:divsChild>
                                                                                                                                <w:div w:id="40516334">
                                                                                                                                  <w:marLeft w:val="0"/>
                                                                                                                                  <w:marRight w:val="0"/>
                                                                                                                                  <w:marTop w:val="0"/>
                                                                                                                                  <w:marBottom w:val="0"/>
                                                                                                                                  <w:divBdr>
                                                                                                                                    <w:top w:val="none" w:sz="0" w:space="0" w:color="auto"/>
                                                                                                                                    <w:left w:val="none" w:sz="0" w:space="0" w:color="auto"/>
                                                                                                                                    <w:bottom w:val="none" w:sz="0" w:space="0" w:color="auto"/>
                                                                                                                                    <w:right w:val="none" w:sz="0" w:space="0" w:color="auto"/>
                                                                                                                                  </w:divBdr>
                                                                                                                                  <w:divsChild>
                                                                                                                                    <w:div w:id="658533315">
                                                                                                                                      <w:marLeft w:val="0"/>
                                                                                                                                      <w:marRight w:val="0"/>
                                                                                                                                      <w:marTop w:val="0"/>
                                                                                                                                      <w:marBottom w:val="0"/>
                                                                                                                                      <w:divBdr>
                                                                                                                                        <w:top w:val="none" w:sz="0" w:space="0" w:color="auto"/>
                                                                                                                                        <w:left w:val="none" w:sz="0" w:space="0" w:color="auto"/>
                                                                                                                                        <w:bottom w:val="none" w:sz="0" w:space="0" w:color="auto"/>
                                                                                                                                        <w:right w:val="none" w:sz="0" w:space="0" w:color="auto"/>
                                                                                                                                      </w:divBdr>
                                                                                                                                      <w:divsChild>
                                                                                                                                        <w:div w:id="1722633554">
                                                                                                                                          <w:marLeft w:val="0"/>
                                                                                                                                          <w:marRight w:val="0"/>
                                                                                                                                          <w:marTop w:val="0"/>
                                                                                                                                          <w:marBottom w:val="0"/>
                                                                                                                                          <w:divBdr>
                                                                                                                                            <w:top w:val="none" w:sz="0" w:space="0" w:color="auto"/>
                                                                                                                                            <w:left w:val="none" w:sz="0" w:space="0" w:color="auto"/>
                                                                                                                                            <w:bottom w:val="none" w:sz="0" w:space="0" w:color="auto"/>
                                                                                                                                            <w:right w:val="none" w:sz="0" w:space="0" w:color="auto"/>
                                                                                                                                          </w:divBdr>
                                                                                                                                          <w:divsChild>
                                                                                                                                            <w:div w:id="937443560">
                                                                                                                                              <w:marLeft w:val="0"/>
                                                                                                                                              <w:marRight w:val="0"/>
                                                                                                                                              <w:marTop w:val="0"/>
                                                                                                                                              <w:marBottom w:val="0"/>
                                                                                                                                              <w:divBdr>
                                                                                                                                                <w:top w:val="none" w:sz="0" w:space="0" w:color="auto"/>
                                                                                                                                                <w:left w:val="none" w:sz="0" w:space="0" w:color="auto"/>
                                                                                                                                                <w:bottom w:val="none" w:sz="0" w:space="0" w:color="auto"/>
                                                                                                                                                <w:right w:val="none" w:sz="0" w:space="0" w:color="auto"/>
                                                                                                                                              </w:divBdr>
                                                                                                                                              <w:divsChild>
                                                                                                                                                <w:div w:id="1369525753">
                                                                                                                                                  <w:marLeft w:val="0"/>
                                                                                                                                                  <w:marRight w:val="0"/>
                                                                                                                                                  <w:marTop w:val="0"/>
                                                                                                                                                  <w:marBottom w:val="0"/>
                                                                                                                                                  <w:divBdr>
                                                                                                                                                    <w:top w:val="none" w:sz="0" w:space="0" w:color="auto"/>
                                                                                                                                                    <w:left w:val="none" w:sz="0" w:space="0" w:color="auto"/>
                                                                                                                                                    <w:bottom w:val="none" w:sz="0" w:space="0" w:color="auto"/>
                                                                                                                                                    <w:right w:val="none" w:sz="0" w:space="0" w:color="auto"/>
                                                                                                                                                  </w:divBdr>
                                                                                                                                                  <w:divsChild>
                                                                                                                                                    <w:div w:id="206534598">
                                                                                                                                                      <w:marLeft w:val="0"/>
                                                                                                                                                      <w:marRight w:val="0"/>
                                                                                                                                                      <w:marTop w:val="0"/>
                                                                                                                                                      <w:marBottom w:val="0"/>
                                                                                                                                                      <w:divBdr>
                                                                                                                                                        <w:top w:val="none" w:sz="0" w:space="0" w:color="auto"/>
                                                                                                                                                        <w:left w:val="none" w:sz="0" w:space="0" w:color="auto"/>
                                                                                                                                                        <w:bottom w:val="none" w:sz="0" w:space="0" w:color="auto"/>
                                                                                                                                                        <w:right w:val="none" w:sz="0" w:space="0" w:color="auto"/>
                                                                                                                                                      </w:divBdr>
                                                                                                                                                      <w:divsChild>
                                                                                                                                                        <w:div w:id="1153716843">
                                                                                                                                                          <w:marLeft w:val="0"/>
                                                                                                                                                          <w:marRight w:val="0"/>
                                                                                                                                                          <w:marTop w:val="0"/>
                                                                                                                                                          <w:marBottom w:val="0"/>
                                                                                                                                                          <w:divBdr>
                                                                                                                                                            <w:top w:val="none" w:sz="0" w:space="0" w:color="auto"/>
                                                                                                                                                            <w:left w:val="none" w:sz="0" w:space="0" w:color="auto"/>
                                                                                                                                                            <w:bottom w:val="none" w:sz="0" w:space="0" w:color="auto"/>
                                                                                                                                                            <w:right w:val="none" w:sz="0" w:space="0" w:color="auto"/>
                                                                                                                                                          </w:divBdr>
                                                                                                                                                          <w:divsChild>
                                                                                                                                                            <w:div w:id="986861445">
                                                                                                                                                              <w:marLeft w:val="0"/>
                                                                                                                                                              <w:marRight w:val="0"/>
                                                                                                                                                              <w:marTop w:val="0"/>
                                                                                                                                                              <w:marBottom w:val="0"/>
                                                                                                                                                              <w:divBdr>
                                                                                                                                                                <w:top w:val="none" w:sz="0" w:space="0" w:color="auto"/>
                                                                                                                                                                <w:left w:val="none" w:sz="0" w:space="0" w:color="auto"/>
                                                                                                                                                                <w:bottom w:val="none" w:sz="0" w:space="0" w:color="auto"/>
                                                                                                                                                                <w:right w:val="none" w:sz="0" w:space="0" w:color="auto"/>
                                                                                                                                                              </w:divBdr>
                                                                                                                                                              <w:divsChild>
                                                                                                                                                                <w:div w:id="1193301028">
                                                                                                                                                                  <w:marLeft w:val="0"/>
                                                                                                                                                                  <w:marRight w:val="0"/>
                                                                                                                                                                  <w:marTop w:val="0"/>
                                                                                                                                                                  <w:marBottom w:val="0"/>
                                                                                                                                                                  <w:divBdr>
                                                                                                                                                                    <w:top w:val="none" w:sz="0" w:space="0" w:color="auto"/>
                                                                                                                                                                    <w:left w:val="none" w:sz="0" w:space="0" w:color="auto"/>
                                                                                                                                                                    <w:bottom w:val="none" w:sz="0" w:space="0" w:color="auto"/>
                                                                                                                                                                    <w:right w:val="none" w:sz="0" w:space="0" w:color="auto"/>
                                                                                                                                                                  </w:divBdr>
                                                                                                                                                                  <w:divsChild>
                                                                                                                                                                    <w:div w:id="1036735935">
                                                                                                                                                                      <w:marLeft w:val="0"/>
                                                                                                                                                                      <w:marRight w:val="0"/>
                                                                                                                                                                      <w:marTop w:val="0"/>
                                                                                                                                                                      <w:marBottom w:val="0"/>
                                                                                                                                                                      <w:divBdr>
                                                                                                                                                                        <w:top w:val="none" w:sz="0" w:space="0" w:color="auto"/>
                                                                                                                                                                        <w:left w:val="none" w:sz="0" w:space="0" w:color="auto"/>
                                                                                                                                                                        <w:bottom w:val="none" w:sz="0" w:space="0" w:color="auto"/>
                                                                                                                                                                        <w:right w:val="none" w:sz="0" w:space="0" w:color="auto"/>
                                                                                                                                                                      </w:divBdr>
                                                                                                                                                                      <w:divsChild>
                                                                                                                                                                        <w:div w:id="1546868647">
                                                                                                                                                                          <w:marLeft w:val="0"/>
                                                                                                                                                                          <w:marRight w:val="0"/>
                                                                                                                                                                          <w:marTop w:val="0"/>
                                                                                                                                                                          <w:marBottom w:val="0"/>
                                                                                                                                                                          <w:divBdr>
                                                                                                                                                                            <w:top w:val="none" w:sz="0" w:space="0" w:color="auto"/>
                                                                                                                                                                            <w:left w:val="none" w:sz="0" w:space="0" w:color="auto"/>
                                                                                                                                                                            <w:bottom w:val="none" w:sz="0" w:space="0" w:color="auto"/>
                                                                                                                                                                            <w:right w:val="none" w:sz="0" w:space="0" w:color="auto"/>
                                                                                                                                                                          </w:divBdr>
                                                                                                                                                                          <w:divsChild>
                                                                                                                                                                            <w:div w:id="535779200">
                                                                                                                                                                              <w:marLeft w:val="0"/>
                                                                                                                                                                              <w:marRight w:val="0"/>
                                                                                                                                                                              <w:marTop w:val="0"/>
                                                                                                                                                                              <w:marBottom w:val="0"/>
                                                                                                                                                                              <w:divBdr>
                                                                                                                                                                                <w:top w:val="none" w:sz="0" w:space="0" w:color="auto"/>
                                                                                                                                                                                <w:left w:val="none" w:sz="0" w:space="0" w:color="auto"/>
                                                                                                                                                                                <w:bottom w:val="none" w:sz="0" w:space="0" w:color="auto"/>
                                                                                                                                                                                <w:right w:val="none" w:sz="0" w:space="0" w:color="auto"/>
                                                                                                                                                                              </w:divBdr>
                                                                                                                                                                              <w:divsChild>
                                                                                                                                                                                <w:div w:id="164064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605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ndrea.morotti85@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26B38239-10AD-4EB9-9FE4-E04B06913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85328</Words>
  <Characters>486375</Characters>
  <Application>Microsoft Office Word</Application>
  <DocSecurity>0</DocSecurity>
  <Lines>4053</Lines>
  <Paragraphs>1141</Paragraphs>
  <ScaleCrop>false</ScaleCrop>
  <HeadingPairs>
    <vt:vector size="8" baseType="variant">
      <vt:variant>
        <vt:lpstr>Title</vt:lpstr>
      </vt:variant>
      <vt:variant>
        <vt:i4>1</vt:i4>
      </vt:variant>
      <vt:variant>
        <vt:lpstr>Titolo</vt:lpstr>
      </vt:variant>
      <vt:variant>
        <vt:i4>1</vt:i4>
      </vt:variant>
      <vt:variant>
        <vt:lpstr>Titre</vt:lpstr>
      </vt:variant>
      <vt:variant>
        <vt:i4>1</vt:i4>
      </vt:variant>
      <vt:variant>
        <vt:lpstr>标题</vt:lpstr>
      </vt:variant>
      <vt:variant>
        <vt:i4>1</vt:i4>
      </vt:variant>
    </vt:vector>
  </HeadingPairs>
  <TitlesOfParts>
    <vt:vector size="4" baseType="lpstr">
      <vt:lpstr/>
      <vt:lpstr/>
      <vt:lpstr/>
      <vt:lpstr/>
    </vt:vector>
  </TitlesOfParts>
  <Company/>
  <LinksUpToDate>false</LinksUpToDate>
  <CharactersWithSpaces>570562</CharactersWithSpaces>
  <SharedDoc>false</SharedDoc>
  <HLinks>
    <vt:vector size="6" baseType="variant">
      <vt:variant>
        <vt:i4>6619145</vt:i4>
      </vt:variant>
      <vt:variant>
        <vt:i4>0</vt:i4>
      </vt:variant>
      <vt:variant>
        <vt:i4>0</vt:i4>
      </vt:variant>
      <vt:variant>
        <vt:i4>5</vt:i4>
      </vt:variant>
      <vt:variant>
        <vt:lpwstr>mailto:andrea.morotti85@gmail.com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dc:creator>
  <cp:keywords/>
  <cp:lastModifiedBy>Rebecca Devon</cp:lastModifiedBy>
  <cp:revision>2</cp:revision>
  <cp:lastPrinted>2018-12-19T16:16:00Z</cp:lastPrinted>
  <dcterms:created xsi:type="dcterms:W3CDTF">2019-08-20T17:39:00Z</dcterms:created>
  <dcterms:modified xsi:type="dcterms:W3CDTF">2019-08-20T17:39:00Z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zotero-version="5.0.47"&gt;&lt;session id="RrzOkOgG"/&gt;&lt;style id="http://www.zotero.org/styles/stroke-valid-valid"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Mendeley Document_1">
    <vt:lpwstr>True</vt:lpwstr>
  </property>
  <property fmtid="{D5CDD505-2E9C-101B-9397-08002B2CF9AE}" pid="5" name="Mendeley Citation Style_1">
    <vt:lpwstr>http://www.zotero.org/styles/annals-of-neurology</vt:lpwstr>
  </property>
  <property fmtid="{D5CDD505-2E9C-101B-9397-08002B2CF9AE}" pid="6" name="Mendeley Recent Style Id 0_1">
    <vt:lpwstr>http://www.zotero.org/styles/annals-of-neurology</vt:lpwstr>
  </property>
  <property fmtid="{D5CDD505-2E9C-101B-9397-08002B2CF9AE}" pid="7" name="Mendeley Recent Style Name 0_1">
    <vt:lpwstr>Annals of Neurology</vt:lpwstr>
  </property>
  <property fmtid="{D5CDD505-2E9C-101B-9397-08002B2CF9AE}" pid="8" name="Mendeley Recent Style Id 1_1">
    <vt:lpwstr>http://www.zotero.org/styles/chicago-author-date</vt:lpwstr>
  </property>
  <property fmtid="{D5CDD505-2E9C-101B-9397-08002B2CF9AE}" pid="9" name="Mendeley Recent Style Name 1_1">
    <vt:lpwstr>Chicago Manual of Style 17th edition (author-date)</vt:lpwstr>
  </property>
  <property fmtid="{D5CDD505-2E9C-101B-9397-08002B2CF9AE}" pid="10" name="Mendeley Recent Style Id 2_1">
    <vt:lpwstr>http://www.zotero.org/styles/harvard-cite-them-right</vt:lpwstr>
  </property>
  <property fmtid="{D5CDD505-2E9C-101B-9397-08002B2CF9AE}" pid="11" name="Mendeley Recent Style Name 2_1">
    <vt:lpwstr>Cite Them Right 10th edition - Harvard</vt:lpwstr>
  </property>
  <property fmtid="{D5CDD505-2E9C-101B-9397-08002B2CF9AE}" pid="12" name="Mendeley Recent Style Id 3_1">
    <vt:lpwstr>http://www.zotero.org/styles/ieee</vt:lpwstr>
  </property>
  <property fmtid="{D5CDD505-2E9C-101B-9397-08002B2CF9AE}" pid="13" name="Mendeley Recent Style Name 3_1">
    <vt:lpwstr>IEEE</vt:lpwstr>
  </property>
  <property fmtid="{D5CDD505-2E9C-101B-9397-08002B2CF9AE}" pid="14" name="Mendeley Recent Style Id 4_1">
    <vt:lpwstr>http://www.zotero.org/styles/jama</vt:lpwstr>
  </property>
  <property fmtid="{D5CDD505-2E9C-101B-9397-08002B2CF9AE}" pid="15" name="Mendeley Recent Style Name 4_1">
    <vt:lpwstr>JAMA (The Journal of the American Medical Association)</vt:lpwstr>
  </property>
  <property fmtid="{D5CDD505-2E9C-101B-9397-08002B2CF9AE}" pid="16" name="Mendeley Recent Style Id 5_1">
    <vt:lpwstr>http://www.zotero.org/styles/modern-humanities-research-association</vt:lpwstr>
  </property>
  <property fmtid="{D5CDD505-2E9C-101B-9397-08002B2CF9AE}" pid="17" name="Mendeley Recent Style Name 5_1">
    <vt:lpwstr>Modern Humanities Research Association 3rd edition (note with bibliography)</vt:lpwstr>
  </property>
  <property fmtid="{D5CDD505-2E9C-101B-9397-08002B2CF9AE}" pid="18" name="Mendeley Recent Style Id 6_1">
    <vt:lpwstr>http://www.zotero.org/styles/neurology</vt:lpwstr>
  </property>
  <property fmtid="{D5CDD505-2E9C-101B-9397-08002B2CF9AE}" pid="19" name="Mendeley Recent Style Name 6_1">
    <vt:lpwstr>Neurology</vt:lpwstr>
  </property>
  <property fmtid="{D5CDD505-2E9C-101B-9397-08002B2CF9AE}" pid="20" name="Mendeley Recent Style Id 7_1">
    <vt:lpwstr>http://www.zotero.org/styles/stroke</vt:lpwstr>
  </property>
  <property fmtid="{D5CDD505-2E9C-101B-9397-08002B2CF9AE}" pid="21" name="Mendeley Recent Style Name 7_1">
    <vt:lpwstr>Stroke</vt:lpwstr>
  </property>
  <property fmtid="{D5CDD505-2E9C-101B-9397-08002B2CF9AE}" pid="22" name="Mendeley Recent Style Id 8_1">
    <vt:lpwstr>http://www.zotero.org/styles/the-lancet-neurology</vt:lpwstr>
  </property>
  <property fmtid="{D5CDD505-2E9C-101B-9397-08002B2CF9AE}" pid="23" name="Mendeley Recent Style Name 8_1">
    <vt:lpwstr>The Lancet Neurology</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y fmtid="{D5CDD505-2E9C-101B-9397-08002B2CF9AE}" pid="26" name="KSOProductBuildVer">
    <vt:lpwstr>2052-10.1.0.7400</vt:lpwstr>
  </property>
  <property fmtid="{D5CDD505-2E9C-101B-9397-08002B2CF9AE}" pid="27" name="Mendeley Unique User Id_1">
    <vt:lpwstr>daf534e7-2e5e-3dc3-ab0a-c903865d9f01</vt:lpwstr>
  </property>
</Properties>
</file>